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25AA" w14:textId="188EAE14" w:rsidR="00A136B9" w:rsidRPr="000C37D3" w:rsidRDefault="00A136B9" w:rsidP="00A136B9">
      <w:pPr>
        <w:spacing w:line="360" w:lineRule="auto"/>
        <w:jc w:val="right"/>
        <w:rPr>
          <w:noProof/>
          <w:sz w:val="24"/>
          <w:szCs w:val="24"/>
          <w:rtl/>
          <w:lang w:eastAsia="en-US"/>
        </w:rPr>
      </w:pPr>
      <w:r w:rsidRPr="000C37D3">
        <w:rPr>
          <w:noProof/>
          <w:sz w:val="24"/>
          <w:szCs w:val="24"/>
          <w:lang w:eastAsia="en-US"/>
        </w:rPr>
        <w:t xml:space="preserve">                                             </w:t>
      </w:r>
      <w:r w:rsidR="00360CB6">
        <w:rPr>
          <w:rFonts w:hint="cs"/>
          <w:noProof/>
          <w:sz w:val="24"/>
          <w:szCs w:val="24"/>
          <w:rtl/>
          <w:lang w:eastAsia="en-US"/>
        </w:rPr>
        <w:t>פ_________</w:t>
      </w:r>
    </w:p>
    <w:p w14:paraId="0F17AEA5" w14:textId="77777777" w:rsidR="00A136B9" w:rsidRDefault="00A136B9" w:rsidP="00A136B9">
      <w:pPr>
        <w:spacing w:line="360" w:lineRule="auto"/>
        <w:jc w:val="both"/>
        <w:rPr>
          <w:noProof/>
          <w:sz w:val="24"/>
          <w:szCs w:val="24"/>
          <w:rtl/>
          <w:lang w:eastAsia="en-US"/>
        </w:rPr>
      </w:pPr>
    </w:p>
    <w:p w14:paraId="1A93B926" w14:textId="0715431D" w:rsidR="00A136B9" w:rsidRPr="00A136B9" w:rsidRDefault="00A136B9" w:rsidP="00A136B9">
      <w:pPr>
        <w:spacing w:line="360" w:lineRule="auto"/>
        <w:jc w:val="right"/>
        <w:rPr>
          <w:noProof/>
          <w:sz w:val="24"/>
          <w:szCs w:val="24"/>
          <w:rtl/>
          <w:lang w:eastAsia="en-US"/>
        </w:rPr>
      </w:pPr>
      <w:r w:rsidRPr="00A136B9">
        <w:rPr>
          <w:rFonts w:hint="cs"/>
          <w:noProof/>
          <w:sz w:val="24"/>
          <w:szCs w:val="24"/>
          <w:rtl/>
          <w:lang w:eastAsia="en-US"/>
        </w:rPr>
        <w:t xml:space="preserve">מגיש: חבר הכנסת </w:t>
      </w:r>
    </w:p>
    <w:p w14:paraId="3032AC0A" w14:textId="77777777" w:rsidR="00A136B9" w:rsidRPr="00A136B9" w:rsidRDefault="00A136B9" w:rsidP="00A136B9">
      <w:pPr>
        <w:spacing w:line="360" w:lineRule="auto"/>
        <w:jc w:val="right"/>
        <w:rPr>
          <w:b/>
          <w:bCs/>
          <w:noProof/>
          <w:sz w:val="24"/>
          <w:szCs w:val="24"/>
          <w:rtl/>
          <w:lang w:eastAsia="en-US"/>
        </w:rPr>
      </w:pPr>
    </w:p>
    <w:p w14:paraId="22FECF2E" w14:textId="59E6DF28" w:rsidR="00A136B9" w:rsidRPr="000C37D3" w:rsidRDefault="00A136B9" w:rsidP="00A136B9">
      <w:pPr>
        <w:spacing w:line="360" w:lineRule="auto"/>
        <w:jc w:val="center"/>
        <w:rPr>
          <w:b/>
          <w:bCs/>
          <w:noProof/>
          <w:sz w:val="24"/>
          <w:szCs w:val="24"/>
          <w:rtl/>
          <w:lang w:eastAsia="en-US"/>
        </w:rPr>
      </w:pPr>
      <w:r w:rsidRPr="000C37D3">
        <w:rPr>
          <w:b/>
          <w:bCs/>
          <w:noProof/>
          <w:sz w:val="24"/>
          <w:szCs w:val="24"/>
          <w:rtl/>
          <w:lang w:eastAsia="en-US"/>
        </w:rPr>
        <w:t xml:space="preserve">הצעת חוק תובענות ייצוגיות (תיקון – פניה מוקדמת), </w:t>
      </w:r>
      <w:r>
        <w:rPr>
          <w:rFonts w:hint="cs"/>
          <w:b/>
          <w:bCs/>
          <w:noProof/>
          <w:sz w:val="24"/>
          <w:szCs w:val="24"/>
          <w:rtl/>
          <w:lang w:eastAsia="en-US"/>
        </w:rPr>
        <w:t>התש</w:t>
      </w:r>
      <w:r w:rsidR="00360CB6">
        <w:rPr>
          <w:rFonts w:hint="cs"/>
          <w:b/>
          <w:bCs/>
          <w:noProof/>
          <w:sz w:val="24"/>
          <w:szCs w:val="24"/>
          <w:rtl/>
          <w:lang w:eastAsia="en-US"/>
        </w:rPr>
        <w:t>פ"ג</w:t>
      </w:r>
      <w:r w:rsidRPr="000C37D3">
        <w:rPr>
          <w:b/>
          <w:bCs/>
          <w:noProof/>
          <w:sz w:val="24"/>
          <w:szCs w:val="24"/>
          <w:rtl/>
          <w:lang w:eastAsia="en-US"/>
        </w:rPr>
        <w:t>–</w:t>
      </w:r>
      <w:r>
        <w:rPr>
          <w:rFonts w:hint="cs"/>
          <w:b/>
          <w:bCs/>
          <w:noProof/>
          <w:sz w:val="24"/>
          <w:szCs w:val="24"/>
          <w:rtl/>
          <w:lang w:eastAsia="en-US"/>
        </w:rPr>
        <w:t>202</w:t>
      </w:r>
      <w:r w:rsidR="00360CB6">
        <w:rPr>
          <w:rFonts w:hint="cs"/>
          <w:b/>
          <w:bCs/>
          <w:noProof/>
          <w:sz w:val="24"/>
          <w:szCs w:val="24"/>
          <w:rtl/>
          <w:lang w:eastAsia="en-US"/>
        </w:rPr>
        <w:t>3</w:t>
      </w:r>
    </w:p>
    <w:p w14:paraId="245EDF7F" w14:textId="77777777" w:rsidR="00A136B9" w:rsidRPr="000C37D3" w:rsidRDefault="00A136B9" w:rsidP="00A136B9">
      <w:pPr>
        <w:spacing w:line="360" w:lineRule="auto"/>
        <w:jc w:val="both"/>
        <w:rPr>
          <w:noProof/>
          <w:sz w:val="24"/>
          <w:szCs w:val="24"/>
          <w:rtl/>
          <w:lang w:eastAsia="en-US"/>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624"/>
        <w:gridCol w:w="4025"/>
      </w:tblGrid>
      <w:tr w:rsidR="00A136B9" w:rsidRPr="000C37D3" w14:paraId="77BC7DE1" w14:textId="77777777" w:rsidTr="00A73AA5">
        <w:trPr>
          <w:cantSplit/>
        </w:trPr>
        <w:tc>
          <w:tcPr>
            <w:tcW w:w="1869" w:type="dxa"/>
          </w:tcPr>
          <w:p w14:paraId="66B0BF0F"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הוספת סעיף 4א</w:t>
            </w:r>
          </w:p>
        </w:tc>
        <w:tc>
          <w:tcPr>
            <w:tcW w:w="624" w:type="dxa"/>
          </w:tcPr>
          <w:p w14:paraId="259E9DEF"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1.</w:t>
            </w:r>
          </w:p>
        </w:tc>
        <w:tc>
          <w:tcPr>
            <w:tcW w:w="7145" w:type="dxa"/>
            <w:gridSpan w:val="6"/>
          </w:tcPr>
          <w:p w14:paraId="511D9A7D"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בחוק תובענות ייצוגיות התשס"ו–2006</w:t>
            </w:r>
            <w:r w:rsidRPr="00973F7A">
              <w:rPr>
                <w:noProof/>
                <w:sz w:val="24"/>
                <w:szCs w:val="24"/>
                <w:vertAlign w:val="superscript"/>
                <w:rtl/>
                <w:lang w:eastAsia="en-US"/>
              </w:rPr>
              <w:footnoteReference w:id="1"/>
            </w:r>
            <w:r w:rsidRPr="00973F7A">
              <w:rPr>
                <w:noProof/>
                <w:sz w:val="24"/>
                <w:szCs w:val="24"/>
                <w:rtl/>
                <w:lang w:eastAsia="en-US"/>
              </w:rPr>
              <w:t xml:space="preserve">, </w:t>
            </w:r>
            <w:r w:rsidRPr="000C37D3">
              <w:rPr>
                <w:noProof/>
                <w:sz w:val="24"/>
                <w:szCs w:val="24"/>
                <w:rtl/>
                <w:lang w:eastAsia="en-US"/>
              </w:rPr>
              <w:t>אחרי סעיף 4 יבוא:</w:t>
            </w:r>
          </w:p>
        </w:tc>
      </w:tr>
      <w:tr w:rsidR="00A136B9" w:rsidRPr="000C37D3" w14:paraId="5BE898EA" w14:textId="77777777" w:rsidTr="00A73AA5">
        <w:trPr>
          <w:cantSplit/>
        </w:trPr>
        <w:tc>
          <w:tcPr>
            <w:tcW w:w="1869" w:type="dxa"/>
          </w:tcPr>
          <w:p w14:paraId="15362417" w14:textId="77777777" w:rsidR="00A136B9" w:rsidRPr="000C37D3" w:rsidRDefault="00A136B9" w:rsidP="00A73AA5">
            <w:pPr>
              <w:spacing w:line="360" w:lineRule="auto"/>
              <w:jc w:val="both"/>
              <w:rPr>
                <w:noProof/>
                <w:sz w:val="24"/>
                <w:szCs w:val="24"/>
                <w:lang w:eastAsia="en-US"/>
              </w:rPr>
            </w:pPr>
          </w:p>
        </w:tc>
        <w:tc>
          <w:tcPr>
            <w:tcW w:w="624" w:type="dxa"/>
          </w:tcPr>
          <w:p w14:paraId="591349DD" w14:textId="77777777" w:rsidR="00A136B9" w:rsidRPr="000C37D3" w:rsidRDefault="00A136B9" w:rsidP="00A73AA5">
            <w:pPr>
              <w:spacing w:line="360" w:lineRule="auto"/>
              <w:jc w:val="both"/>
              <w:rPr>
                <w:noProof/>
                <w:sz w:val="24"/>
                <w:szCs w:val="24"/>
                <w:lang w:eastAsia="en-US"/>
              </w:rPr>
            </w:pPr>
          </w:p>
        </w:tc>
        <w:tc>
          <w:tcPr>
            <w:tcW w:w="1872" w:type="dxa"/>
            <w:gridSpan w:val="3"/>
          </w:tcPr>
          <w:p w14:paraId="54059660"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"פניה מוקדמת</w:t>
            </w:r>
          </w:p>
        </w:tc>
        <w:tc>
          <w:tcPr>
            <w:tcW w:w="624" w:type="dxa"/>
          </w:tcPr>
          <w:p w14:paraId="7566BAB6"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4א.</w:t>
            </w:r>
          </w:p>
        </w:tc>
        <w:tc>
          <w:tcPr>
            <w:tcW w:w="4649" w:type="dxa"/>
            <w:gridSpan w:val="2"/>
          </w:tcPr>
          <w:p w14:paraId="0115D028" w14:textId="77777777" w:rsidR="00A136B9" w:rsidRPr="000C37D3" w:rsidRDefault="00A136B9" w:rsidP="00A73AA5">
            <w:pPr>
              <w:spacing w:line="360" w:lineRule="auto"/>
              <w:jc w:val="both"/>
              <w:rPr>
                <w:noProof/>
                <w:sz w:val="24"/>
                <w:szCs w:val="24"/>
                <w:rtl/>
                <w:lang w:eastAsia="en-US"/>
              </w:rPr>
            </w:pPr>
            <w:r w:rsidRPr="000C37D3">
              <w:rPr>
                <w:noProof/>
                <w:sz w:val="24"/>
                <w:szCs w:val="24"/>
                <w:rtl/>
                <w:lang w:eastAsia="en-US"/>
              </w:rPr>
              <w:t>(א)</w:t>
            </w:r>
            <w:r w:rsidRPr="000C37D3">
              <w:rPr>
                <w:noProof/>
                <w:sz w:val="24"/>
                <w:szCs w:val="24"/>
                <w:rtl/>
                <w:lang w:eastAsia="en-US"/>
              </w:rPr>
              <w:tab/>
              <w:t>בסעיף זה –</w:t>
            </w:r>
          </w:p>
          <w:p w14:paraId="3CDF41B5" w14:textId="77777777" w:rsidR="00A136B9" w:rsidRPr="000C37D3" w:rsidRDefault="00A136B9" w:rsidP="00A73AA5">
            <w:pPr>
              <w:spacing w:line="360" w:lineRule="auto"/>
              <w:jc w:val="both"/>
              <w:rPr>
                <w:noProof/>
                <w:sz w:val="24"/>
                <w:szCs w:val="24"/>
                <w:lang w:eastAsia="en-US"/>
              </w:rPr>
            </w:pPr>
          </w:p>
        </w:tc>
      </w:tr>
      <w:tr w:rsidR="00A136B9" w:rsidRPr="000C37D3" w14:paraId="0CDAC6DC" w14:textId="77777777" w:rsidTr="00A73AA5">
        <w:trPr>
          <w:cantSplit/>
          <w:trHeight w:val="60"/>
        </w:trPr>
        <w:tc>
          <w:tcPr>
            <w:tcW w:w="1869" w:type="dxa"/>
          </w:tcPr>
          <w:p w14:paraId="053F3E59" w14:textId="77777777" w:rsidR="00A136B9" w:rsidRPr="000C37D3" w:rsidRDefault="00A136B9" w:rsidP="00A73AA5">
            <w:pPr>
              <w:spacing w:line="360" w:lineRule="auto"/>
              <w:jc w:val="both"/>
              <w:rPr>
                <w:noProof/>
                <w:sz w:val="24"/>
                <w:szCs w:val="24"/>
                <w:lang w:eastAsia="en-US"/>
              </w:rPr>
            </w:pPr>
          </w:p>
        </w:tc>
        <w:tc>
          <w:tcPr>
            <w:tcW w:w="624" w:type="dxa"/>
          </w:tcPr>
          <w:p w14:paraId="6647A10A" w14:textId="77777777" w:rsidR="00A136B9" w:rsidRPr="000C37D3" w:rsidRDefault="00A136B9" w:rsidP="00A73AA5">
            <w:pPr>
              <w:spacing w:line="360" w:lineRule="auto"/>
              <w:jc w:val="both"/>
              <w:rPr>
                <w:noProof/>
                <w:sz w:val="24"/>
                <w:szCs w:val="24"/>
                <w:lang w:eastAsia="en-US"/>
              </w:rPr>
            </w:pPr>
          </w:p>
        </w:tc>
        <w:tc>
          <w:tcPr>
            <w:tcW w:w="624" w:type="dxa"/>
          </w:tcPr>
          <w:p w14:paraId="64F9EC20" w14:textId="77777777" w:rsidR="00A136B9" w:rsidRPr="000C37D3" w:rsidRDefault="00A136B9" w:rsidP="00A73AA5">
            <w:pPr>
              <w:spacing w:line="360" w:lineRule="auto"/>
              <w:jc w:val="both"/>
              <w:rPr>
                <w:noProof/>
                <w:sz w:val="24"/>
                <w:szCs w:val="24"/>
                <w:lang w:eastAsia="en-US"/>
              </w:rPr>
            </w:pPr>
          </w:p>
        </w:tc>
        <w:tc>
          <w:tcPr>
            <w:tcW w:w="624" w:type="dxa"/>
          </w:tcPr>
          <w:p w14:paraId="62E46C40" w14:textId="77777777" w:rsidR="00A136B9" w:rsidRPr="000C37D3" w:rsidRDefault="00A136B9" w:rsidP="00A73AA5">
            <w:pPr>
              <w:spacing w:line="360" w:lineRule="auto"/>
              <w:jc w:val="both"/>
              <w:rPr>
                <w:noProof/>
                <w:sz w:val="24"/>
                <w:szCs w:val="24"/>
                <w:lang w:eastAsia="en-US"/>
              </w:rPr>
            </w:pPr>
          </w:p>
        </w:tc>
        <w:tc>
          <w:tcPr>
            <w:tcW w:w="624" w:type="dxa"/>
          </w:tcPr>
          <w:p w14:paraId="7019D147" w14:textId="77777777" w:rsidR="00A136B9" w:rsidRPr="000C37D3" w:rsidRDefault="00A136B9" w:rsidP="00A73AA5">
            <w:pPr>
              <w:spacing w:line="360" w:lineRule="auto"/>
              <w:jc w:val="both"/>
              <w:rPr>
                <w:noProof/>
                <w:sz w:val="24"/>
                <w:szCs w:val="24"/>
                <w:lang w:eastAsia="en-US"/>
              </w:rPr>
            </w:pPr>
          </w:p>
        </w:tc>
        <w:tc>
          <w:tcPr>
            <w:tcW w:w="624" w:type="dxa"/>
          </w:tcPr>
          <w:p w14:paraId="297E7E91" w14:textId="77777777" w:rsidR="00A136B9" w:rsidRPr="000C37D3" w:rsidRDefault="00A136B9" w:rsidP="00A73AA5">
            <w:pPr>
              <w:spacing w:line="360" w:lineRule="auto"/>
              <w:jc w:val="both"/>
              <w:rPr>
                <w:noProof/>
                <w:sz w:val="24"/>
                <w:szCs w:val="24"/>
                <w:lang w:eastAsia="en-US"/>
              </w:rPr>
            </w:pPr>
          </w:p>
        </w:tc>
        <w:tc>
          <w:tcPr>
            <w:tcW w:w="4649" w:type="dxa"/>
            <w:gridSpan w:val="2"/>
          </w:tcPr>
          <w:p w14:paraId="74CA3832"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"התחייבות" – התחייבות לתת לקבוצה פיצוי או סעד המפורטים בפניה המוקדמת או חלק מהם;</w:t>
            </w:r>
          </w:p>
        </w:tc>
      </w:tr>
      <w:tr w:rsidR="00A136B9" w:rsidRPr="000C37D3" w14:paraId="5E1B2101" w14:textId="77777777" w:rsidTr="00A73AA5">
        <w:trPr>
          <w:cantSplit/>
          <w:trHeight w:val="60"/>
        </w:trPr>
        <w:tc>
          <w:tcPr>
            <w:tcW w:w="1869" w:type="dxa"/>
          </w:tcPr>
          <w:p w14:paraId="400BA097" w14:textId="77777777" w:rsidR="00A136B9" w:rsidRPr="000C37D3" w:rsidRDefault="00A136B9" w:rsidP="00A73AA5">
            <w:pPr>
              <w:spacing w:line="360" w:lineRule="auto"/>
              <w:jc w:val="both"/>
              <w:rPr>
                <w:noProof/>
                <w:sz w:val="24"/>
                <w:szCs w:val="24"/>
                <w:lang w:eastAsia="en-US"/>
              </w:rPr>
            </w:pPr>
          </w:p>
        </w:tc>
        <w:tc>
          <w:tcPr>
            <w:tcW w:w="624" w:type="dxa"/>
          </w:tcPr>
          <w:p w14:paraId="191CA350" w14:textId="77777777" w:rsidR="00A136B9" w:rsidRPr="000C37D3" w:rsidRDefault="00A136B9" w:rsidP="00A73AA5">
            <w:pPr>
              <w:spacing w:line="360" w:lineRule="auto"/>
              <w:jc w:val="both"/>
              <w:rPr>
                <w:noProof/>
                <w:sz w:val="24"/>
                <w:szCs w:val="24"/>
                <w:lang w:eastAsia="en-US"/>
              </w:rPr>
            </w:pPr>
          </w:p>
        </w:tc>
        <w:tc>
          <w:tcPr>
            <w:tcW w:w="624" w:type="dxa"/>
          </w:tcPr>
          <w:p w14:paraId="7AB20176" w14:textId="77777777" w:rsidR="00A136B9" w:rsidRPr="000C37D3" w:rsidRDefault="00A136B9" w:rsidP="00A73AA5">
            <w:pPr>
              <w:spacing w:line="360" w:lineRule="auto"/>
              <w:jc w:val="both"/>
              <w:rPr>
                <w:noProof/>
                <w:sz w:val="24"/>
                <w:szCs w:val="24"/>
                <w:lang w:eastAsia="en-US"/>
              </w:rPr>
            </w:pPr>
          </w:p>
        </w:tc>
        <w:tc>
          <w:tcPr>
            <w:tcW w:w="624" w:type="dxa"/>
          </w:tcPr>
          <w:p w14:paraId="19EEFE10" w14:textId="77777777" w:rsidR="00A136B9" w:rsidRPr="000C37D3" w:rsidRDefault="00A136B9" w:rsidP="00A73AA5">
            <w:pPr>
              <w:spacing w:line="360" w:lineRule="auto"/>
              <w:jc w:val="both"/>
              <w:rPr>
                <w:noProof/>
                <w:sz w:val="24"/>
                <w:szCs w:val="24"/>
                <w:lang w:eastAsia="en-US"/>
              </w:rPr>
            </w:pPr>
          </w:p>
        </w:tc>
        <w:tc>
          <w:tcPr>
            <w:tcW w:w="624" w:type="dxa"/>
          </w:tcPr>
          <w:p w14:paraId="00955866" w14:textId="77777777" w:rsidR="00A136B9" w:rsidRPr="000C37D3" w:rsidRDefault="00A136B9" w:rsidP="00A73AA5">
            <w:pPr>
              <w:spacing w:line="360" w:lineRule="auto"/>
              <w:jc w:val="both"/>
              <w:rPr>
                <w:noProof/>
                <w:sz w:val="24"/>
                <w:szCs w:val="24"/>
                <w:lang w:eastAsia="en-US"/>
              </w:rPr>
            </w:pPr>
          </w:p>
        </w:tc>
        <w:tc>
          <w:tcPr>
            <w:tcW w:w="624" w:type="dxa"/>
          </w:tcPr>
          <w:p w14:paraId="7C6CF773" w14:textId="77777777" w:rsidR="00A136B9" w:rsidRPr="000C37D3" w:rsidRDefault="00A136B9" w:rsidP="00A73AA5">
            <w:pPr>
              <w:spacing w:line="360" w:lineRule="auto"/>
              <w:jc w:val="both"/>
              <w:rPr>
                <w:noProof/>
                <w:sz w:val="24"/>
                <w:szCs w:val="24"/>
                <w:lang w:eastAsia="en-US"/>
              </w:rPr>
            </w:pPr>
          </w:p>
        </w:tc>
        <w:tc>
          <w:tcPr>
            <w:tcW w:w="4649" w:type="dxa"/>
            <w:gridSpan w:val="2"/>
          </w:tcPr>
          <w:p w14:paraId="7B5DF208" w14:textId="77777777" w:rsidR="00A136B9" w:rsidRPr="000C37D3" w:rsidRDefault="00A136B9" w:rsidP="00A73AA5">
            <w:pPr>
              <w:spacing w:line="360" w:lineRule="auto"/>
              <w:jc w:val="both"/>
              <w:rPr>
                <w:noProof/>
                <w:sz w:val="24"/>
                <w:szCs w:val="24"/>
                <w:rtl/>
                <w:lang w:eastAsia="en-US"/>
              </w:rPr>
            </w:pPr>
            <w:r w:rsidRPr="000C37D3">
              <w:rPr>
                <w:noProof/>
                <w:sz w:val="24"/>
                <w:szCs w:val="24"/>
                <w:rtl/>
                <w:lang w:eastAsia="en-US"/>
              </w:rPr>
              <w:t>"משיב" – מי שפנה אליו אדם בפניה מוקדמת;</w:t>
            </w:r>
          </w:p>
        </w:tc>
      </w:tr>
      <w:tr w:rsidR="00A136B9" w:rsidRPr="000C37D3" w14:paraId="3E520D72" w14:textId="77777777" w:rsidTr="00A73AA5">
        <w:trPr>
          <w:cantSplit/>
          <w:trHeight w:val="60"/>
        </w:trPr>
        <w:tc>
          <w:tcPr>
            <w:tcW w:w="1869" w:type="dxa"/>
          </w:tcPr>
          <w:p w14:paraId="51CE0631" w14:textId="77777777" w:rsidR="00A136B9" w:rsidRPr="000C37D3" w:rsidRDefault="00A136B9" w:rsidP="00A73AA5">
            <w:pPr>
              <w:spacing w:line="360" w:lineRule="auto"/>
              <w:jc w:val="both"/>
              <w:rPr>
                <w:noProof/>
                <w:sz w:val="24"/>
                <w:szCs w:val="24"/>
                <w:lang w:eastAsia="en-US"/>
              </w:rPr>
            </w:pPr>
          </w:p>
        </w:tc>
        <w:tc>
          <w:tcPr>
            <w:tcW w:w="624" w:type="dxa"/>
          </w:tcPr>
          <w:p w14:paraId="67D0760B" w14:textId="77777777" w:rsidR="00A136B9" w:rsidRPr="000C37D3" w:rsidRDefault="00A136B9" w:rsidP="00A73AA5">
            <w:pPr>
              <w:spacing w:line="360" w:lineRule="auto"/>
              <w:jc w:val="both"/>
              <w:rPr>
                <w:noProof/>
                <w:sz w:val="24"/>
                <w:szCs w:val="24"/>
                <w:lang w:eastAsia="en-US"/>
              </w:rPr>
            </w:pPr>
          </w:p>
        </w:tc>
        <w:tc>
          <w:tcPr>
            <w:tcW w:w="624" w:type="dxa"/>
          </w:tcPr>
          <w:p w14:paraId="434D6195" w14:textId="77777777" w:rsidR="00A136B9" w:rsidRPr="000C37D3" w:rsidRDefault="00A136B9" w:rsidP="00A73AA5">
            <w:pPr>
              <w:spacing w:line="360" w:lineRule="auto"/>
              <w:jc w:val="both"/>
              <w:rPr>
                <w:noProof/>
                <w:sz w:val="24"/>
                <w:szCs w:val="24"/>
                <w:lang w:eastAsia="en-US"/>
              </w:rPr>
            </w:pPr>
          </w:p>
        </w:tc>
        <w:tc>
          <w:tcPr>
            <w:tcW w:w="624" w:type="dxa"/>
          </w:tcPr>
          <w:p w14:paraId="0AA565F4" w14:textId="77777777" w:rsidR="00A136B9" w:rsidRPr="000C37D3" w:rsidRDefault="00A136B9" w:rsidP="00A73AA5">
            <w:pPr>
              <w:spacing w:line="360" w:lineRule="auto"/>
              <w:jc w:val="both"/>
              <w:rPr>
                <w:noProof/>
                <w:sz w:val="24"/>
                <w:szCs w:val="24"/>
                <w:lang w:eastAsia="en-US"/>
              </w:rPr>
            </w:pPr>
          </w:p>
        </w:tc>
        <w:tc>
          <w:tcPr>
            <w:tcW w:w="624" w:type="dxa"/>
          </w:tcPr>
          <w:p w14:paraId="0644E66F" w14:textId="77777777" w:rsidR="00A136B9" w:rsidRPr="000C37D3" w:rsidRDefault="00A136B9" w:rsidP="00A73AA5">
            <w:pPr>
              <w:spacing w:line="360" w:lineRule="auto"/>
              <w:jc w:val="both"/>
              <w:rPr>
                <w:noProof/>
                <w:sz w:val="24"/>
                <w:szCs w:val="24"/>
                <w:lang w:eastAsia="en-US"/>
              </w:rPr>
            </w:pPr>
          </w:p>
        </w:tc>
        <w:tc>
          <w:tcPr>
            <w:tcW w:w="624" w:type="dxa"/>
          </w:tcPr>
          <w:p w14:paraId="1C48EAEC" w14:textId="77777777" w:rsidR="00A136B9" w:rsidRPr="000C37D3" w:rsidRDefault="00A136B9" w:rsidP="00A73AA5">
            <w:pPr>
              <w:spacing w:line="360" w:lineRule="auto"/>
              <w:jc w:val="both"/>
              <w:rPr>
                <w:noProof/>
                <w:sz w:val="24"/>
                <w:szCs w:val="24"/>
                <w:lang w:eastAsia="en-US"/>
              </w:rPr>
            </w:pPr>
          </w:p>
        </w:tc>
        <w:tc>
          <w:tcPr>
            <w:tcW w:w="4649" w:type="dxa"/>
            <w:gridSpan w:val="2"/>
          </w:tcPr>
          <w:p w14:paraId="346914DC" w14:textId="77777777" w:rsidR="00A136B9" w:rsidRPr="000C37D3" w:rsidRDefault="00A136B9" w:rsidP="00A73AA5">
            <w:pPr>
              <w:spacing w:line="360" w:lineRule="auto"/>
              <w:jc w:val="both"/>
              <w:rPr>
                <w:noProof/>
                <w:sz w:val="24"/>
                <w:szCs w:val="24"/>
                <w:rtl/>
                <w:lang w:eastAsia="en-US"/>
              </w:rPr>
            </w:pPr>
            <w:r w:rsidRPr="000C37D3">
              <w:rPr>
                <w:noProof/>
                <w:sz w:val="24"/>
                <w:szCs w:val="24"/>
                <w:rtl/>
                <w:lang w:eastAsia="en-US"/>
              </w:rPr>
              <w:t>"פונה" – אדם או ארגון הפונה פניה מוקדמת;</w:t>
            </w:r>
          </w:p>
        </w:tc>
      </w:tr>
      <w:tr w:rsidR="00A136B9" w:rsidRPr="000C37D3" w14:paraId="1056DE51" w14:textId="77777777" w:rsidTr="00A73AA5">
        <w:trPr>
          <w:cantSplit/>
          <w:trHeight w:val="60"/>
        </w:trPr>
        <w:tc>
          <w:tcPr>
            <w:tcW w:w="1869" w:type="dxa"/>
          </w:tcPr>
          <w:p w14:paraId="6CDA99DD" w14:textId="77777777" w:rsidR="00A136B9" w:rsidRPr="000C37D3" w:rsidRDefault="00A136B9" w:rsidP="00A73AA5">
            <w:pPr>
              <w:spacing w:line="360" w:lineRule="auto"/>
              <w:jc w:val="both"/>
              <w:rPr>
                <w:noProof/>
                <w:sz w:val="24"/>
                <w:szCs w:val="24"/>
                <w:lang w:eastAsia="en-US"/>
              </w:rPr>
            </w:pPr>
          </w:p>
        </w:tc>
        <w:tc>
          <w:tcPr>
            <w:tcW w:w="624" w:type="dxa"/>
          </w:tcPr>
          <w:p w14:paraId="194DB01E" w14:textId="77777777" w:rsidR="00A136B9" w:rsidRPr="000C37D3" w:rsidRDefault="00A136B9" w:rsidP="00A73AA5">
            <w:pPr>
              <w:spacing w:line="360" w:lineRule="auto"/>
              <w:jc w:val="both"/>
              <w:rPr>
                <w:noProof/>
                <w:sz w:val="24"/>
                <w:szCs w:val="24"/>
                <w:lang w:eastAsia="en-US"/>
              </w:rPr>
            </w:pPr>
          </w:p>
        </w:tc>
        <w:tc>
          <w:tcPr>
            <w:tcW w:w="624" w:type="dxa"/>
          </w:tcPr>
          <w:p w14:paraId="546A3A0D" w14:textId="77777777" w:rsidR="00A136B9" w:rsidRPr="000C37D3" w:rsidRDefault="00A136B9" w:rsidP="00A73AA5">
            <w:pPr>
              <w:spacing w:line="360" w:lineRule="auto"/>
              <w:jc w:val="both"/>
              <w:rPr>
                <w:noProof/>
                <w:sz w:val="24"/>
                <w:szCs w:val="24"/>
                <w:lang w:eastAsia="en-US"/>
              </w:rPr>
            </w:pPr>
          </w:p>
        </w:tc>
        <w:tc>
          <w:tcPr>
            <w:tcW w:w="624" w:type="dxa"/>
          </w:tcPr>
          <w:p w14:paraId="0A41E5AF" w14:textId="77777777" w:rsidR="00A136B9" w:rsidRPr="000C37D3" w:rsidRDefault="00A136B9" w:rsidP="00A73AA5">
            <w:pPr>
              <w:spacing w:line="360" w:lineRule="auto"/>
              <w:jc w:val="both"/>
              <w:rPr>
                <w:noProof/>
                <w:sz w:val="24"/>
                <w:szCs w:val="24"/>
                <w:lang w:eastAsia="en-US"/>
              </w:rPr>
            </w:pPr>
          </w:p>
        </w:tc>
        <w:tc>
          <w:tcPr>
            <w:tcW w:w="624" w:type="dxa"/>
          </w:tcPr>
          <w:p w14:paraId="1D151FB3" w14:textId="77777777" w:rsidR="00A136B9" w:rsidRPr="000C37D3" w:rsidRDefault="00A136B9" w:rsidP="00A73AA5">
            <w:pPr>
              <w:spacing w:line="360" w:lineRule="auto"/>
              <w:jc w:val="both"/>
              <w:rPr>
                <w:noProof/>
                <w:sz w:val="24"/>
                <w:szCs w:val="24"/>
                <w:lang w:eastAsia="en-US"/>
              </w:rPr>
            </w:pPr>
          </w:p>
        </w:tc>
        <w:tc>
          <w:tcPr>
            <w:tcW w:w="624" w:type="dxa"/>
          </w:tcPr>
          <w:p w14:paraId="4E6DE78C" w14:textId="77777777" w:rsidR="00A136B9" w:rsidRPr="000C37D3" w:rsidRDefault="00A136B9" w:rsidP="00A73AA5">
            <w:pPr>
              <w:spacing w:line="360" w:lineRule="auto"/>
              <w:jc w:val="both"/>
              <w:rPr>
                <w:noProof/>
                <w:sz w:val="24"/>
                <w:szCs w:val="24"/>
                <w:lang w:eastAsia="en-US"/>
              </w:rPr>
            </w:pPr>
          </w:p>
        </w:tc>
        <w:tc>
          <w:tcPr>
            <w:tcW w:w="4649" w:type="dxa"/>
            <w:gridSpan w:val="2"/>
          </w:tcPr>
          <w:p w14:paraId="6958D7AC" w14:textId="77777777" w:rsidR="00A136B9" w:rsidRPr="000C37D3" w:rsidRDefault="00A136B9" w:rsidP="00A73AA5">
            <w:pPr>
              <w:spacing w:line="360" w:lineRule="auto"/>
              <w:jc w:val="both"/>
              <w:rPr>
                <w:noProof/>
                <w:sz w:val="24"/>
                <w:szCs w:val="24"/>
                <w:rtl/>
                <w:lang w:eastAsia="en-US"/>
              </w:rPr>
            </w:pPr>
            <w:r w:rsidRPr="000C37D3">
              <w:rPr>
                <w:noProof/>
                <w:sz w:val="24"/>
                <w:szCs w:val="24"/>
                <w:rtl/>
                <w:lang w:eastAsia="en-US"/>
              </w:rPr>
              <w:t>"פניה מוקדמת" – פניה בכתב ובה הודעה על כוונה לתבוע את המשיב בתביעה ייצוגית.</w:t>
            </w:r>
          </w:p>
        </w:tc>
      </w:tr>
      <w:tr w:rsidR="00A136B9" w:rsidRPr="000C37D3" w14:paraId="00F6CF37" w14:textId="77777777" w:rsidTr="00A73AA5">
        <w:trPr>
          <w:cantSplit/>
          <w:trHeight w:val="60"/>
        </w:trPr>
        <w:tc>
          <w:tcPr>
            <w:tcW w:w="1869" w:type="dxa"/>
          </w:tcPr>
          <w:p w14:paraId="6F9B946D" w14:textId="77777777" w:rsidR="00A136B9" w:rsidRPr="000C37D3" w:rsidRDefault="00A136B9" w:rsidP="00A73AA5">
            <w:pPr>
              <w:spacing w:line="360" w:lineRule="auto"/>
              <w:jc w:val="both"/>
              <w:rPr>
                <w:noProof/>
                <w:sz w:val="24"/>
                <w:szCs w:val="24"/>
                <w:lang w:eastAsia="en-US"/>
              </w:rPr>
            </w:pPr>
          </w:p>
        </w:tc>
        <w:tc>
          <w:tcPr>
            <w:tcW w:w="624" w:type="dxa"/>
          </w:tcPr>
          <w:p w14:paraId="3E9A12FB" w14:textId="77777777" w:rsidR="00A136B9" w:rsidRPr="000C37D3" w:rsidRDefault="00A136B9" w:rsidP="00A73AA5">
            <w:pPr>
              <w:spacing w:line="360" w:lineRule="auto"/>
              <w:jc w:val="both"/>
              <w:rPr>
                <w:noProof/>
                <w:sz w:val="24"/>
                <w:szCs w:val="24"/>
                <w:lang w:eastAsia="en-US"/>
              </w:rPr>
            </w:pPr>
          </w:p>
        </w:tc>
        <w:tc>
          <w:tcPr>
            <w:tcW w:w="624" w:type="dxa"/>
          </w:tcPr>
          <w:p w14:paraId="37D70AEA" w14:textId="77777777" w:rsidR="00A136B9" w:rsidRPr="000C37D3" w:rsidRDefault="00A136B9" w:rsidP="00A73AA5">
            <w:pPr>
              <w:spacing w:line="360" w:lineRule="auto"/>
              <w:jc w:val="both"/>
              <w:rPr>
                <w:noProof/>
                <w:sz w:val="24"/>
                <w:szCs w:val="24"/>
                <w:lang w:eastAsia="en-US"/>
              </w:rPr>
            </w:pPr>
          </w:p>
        </w:tc>
        <w:tc>
          <w:tcPr>
            <w:tcW w:w="624" w:type="dxa"/>
          </w:tcPr>
          <w:p w14:paraId="4FCA83C8" w14:textId="77777777" w:rsidR="00A136B9" w:rsidRPr="000C37D3" w:rsidRDefault="00A136B9" w:rsidP="00A73AA5">
            <w:pPr>
              <w:spacing w:line="360" w:lineRule="auto"/>
              <w:jc w:val="both"/>
              <w:rPr>
                <w:noProof/>
                <w:sz w:val="24"/>
                <w:szCs w:val="24"/>
                <w:lang w:eastAsia="en-US"/>
              </w:rPr>
            </w:pPr>
          </w:p>
        </w:tc>
        <w:tc>
          <w:tcPr>
            <w:tcW w:w="624" w:type="dxa"/>
          </w:tcPr>
          <w:p w14:paraId="272E6227" w14:textId="77777777" w:rsidR="00A136B9" w:rsidRPr="000C37D3" w:rsidRDefault="00A136B9" w:rsidP="00A73AA5">
            <w:pPr>
              <w:spacing w:line="360" w:lineRule="auto"/>
              <w:jc w:val="both"/>
              <w:rPr>
                <w:noProof/>
                <w:sz w:val="24"/>
                <w:szCs w:val="24"/>
                <w:lang w:eastAsia="en-US"/>
              </w:rPr>
            </w:pPr>
          </w:p>
        </w:tc>
        <w:tc>
          <w:tcPr>
            <w:tcW w:w="624" w:type="dxa"/>
          </w:tcPr>
          <w:p w14:paraId="39784B7C" w14:textId="77777777" w:rsidR="00A136B9" w:rsidRPr="000C37D3" w:rsidRDefault="00A136B9" w:rsidP="00A73AA5">
            <w:pPr>
              <w:spacing w:line="360" w:lineRule="auto"/>
              <w:jc w:val="both"/>
              <w:rPr>
                <w:noProof/>
                <w:sz w:val="24"/>
                <w:szCs w:val="24"/>
                <w:lang w:eastAsia="en-US"/>
              </w:rPr>
            </w:pPr>
          </w:p>
        </w:tc>
        <w:tc>
          <w:tcPr>
            <w:tcW w:w="4649" w:type="dxa"/>
            <w:gridSpan w:val="2"/>
          </w:tcPr>
          <w:p w14:paraId="56F49B4D"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(ב)</w:t>
            </w:r>
            <w:r w:rsidRPr="000C37D3">
              <w:rPr>
                <w:noProof/>
                <w:sz w:val="24"/>
                <w:szCs w:val="24"/>
                <w:rtl/>
                <w:lang w:eastAsia="en-US"/>
              </w:rPr>
              <w:tab/>
              <w:t>על אף האמור בחוק זה, לא יגיש אדם או ארגון לבית המשפט בקשה לאישור תובענה ייצוגית אלא אם כן פנה קודם לכן למשיב בפניה מוקדמת.</w:t>
            </w:r>
          </w:p>
        </w:tc>
      </w:tr>
      <w:tr w:rsidR="00A136B9" w:rsidRPr="000C37D3" w14:paraId="0BA1787E" w14:textId="77777777" w:rsidTr="00A73AA5">
        <w:trPr>
          <w:cantSplit/>
          <w:trHeight w:val="60"/>
        </w:trPr>
        <w:tc>
          <w:tcPr>
            <w:tcW w:w="1869" w:type="dxa"/>
          </w:tcPr>
          <w:p w14:paraId="17781639" w14:textId="77777777" w:rsidR="00A136B9" w:rsidRPr="000C37D3" w:rsidRDefault="00A136B9" w:rsidP="00A73AA5">
            <w:pPr>
              <w:spacing w:line="360" w:lineRule="auto"/>
              <w:jc w:val="both"/>
              <w:rPr>
                <w:noProof/>
                <w:sz w:val="24"/>
                <w:szCs w:val="24"/>
                <w:lang w:eastAsia="en-US"/>
              </w:rPr>
            </w:pPr>
          </w:p>
        </w:tc>
        <w:tc>
          <w:tcPr>
            <w:tcW w:w="624" w:type="dxa"/>
          </w:tcPr>
          <w:p w14:paraId="74F946BF" w14:textId="77777777" w:rsidR="00A136B9" w:rsidRPr="000C37D3" w:rsidRDefault="00A136B9" w:rsidP="00A73AA5">
            <w:pPr>
              <w:spacing w:line="360" w:lineRule="auto"/>
              <w:jc w:val="both"/>
              <w:rPr>
                <w:noProof/>
                <w:sz w:val="24"/>
                <w:szCs w:val="24"/>
                <w:lang w:eastAsia="en-US"/>
              </w:rPr>
            </w:pPr>
          </w:p>
        </w:tc>
        <w:tc>
          <w:tcPr>
            <w:tcW w:w="624" w:type="dxa"/>
          </w:tcPr>
          <w:p w14:paraId="1A1C0204" w14:textId="77777777" w:rsidR="00A136B9" w:rsidRPr="000C37D3" w:rsidRDefault="00A136B9" w:rsidP="00A73AA5">
            <w:pPr>
              <w:spacing w:line="360" w:lineRule="auto"/>
              <w:jc w:val="both"/>
              <w:rPr>
                <w:noProof/>
                <w:sz w:val="24"/>
                <w:szCs w:val="24"/>
                <w:lang w:eastAsia="en-US"/>
              </w:rPr>
            </w:pPr>
          </w:p>
        </w:tc>
        <w:tc>
          <w:tcPr>
            <w:tcW w:w="624" w:type="dxa"/>
          </w:tcPr>
          <w:p w14:paraId="3F860F9F" w14:textId="77777777" w:rsidR="00A136B9" w:rsidRPr="000C37D3" w:rsidRDefault="00A136B9" w:rsidP="00A73AA5">
            <w:pPr>
              <w:spacing w:line="360" w:lineRule="auto"/>
              <w:jc w:val="both"/>
              <w:rPr>
                <w:noProof/>
                <w:sz w:val="24"/>
                <w:szCs w:val="24"/>
                <w:lang w:eastAsia="en-US"/>
              </w:rPr>
            </w:pPr>
          </w:p>
        </w:tc>
        <w:tc>
          <w:tcPr>
            <w:tcW w:w="624" w:type="dxa"/>
          </w:tcPr>
          <w:p w14:paraId="15121B22" w14:textId="77777777" w:rsidR="00A136B9" w:rsidRPr="000C37D3" w:rsidRDefault="00A136B9" w:rsidP="00A73AA5">
            <w:pPr>
              <w:spacing w:line="360" w:lineRule="auto"/>
              <w:jc w:val="both"/>
              <w:rPr>
                <w:noProof/>
                <w:sz w:val="24"/>
                <w:szCs w:val="24"/>
                <w:lang w:eastAsia="en-US"/>
              </w:rPr>
            </w:pPr>
          </w:p>
        </w:tc>
        <w:tc>
          <w:tcPr>
            <w:tcW w:w="624" w:type="dxa"/>
          </w:tcPr>
          <w:p w14:paraId="72A7AF0E" w14:textId="77777777" w:rsidR="00A136B9" w:rsidRPr="000C37D3" w:rsidRDefault="00A136B9" w:rsidP="00A73AA5">
            <w:pPr>
              <w:spacing w:line="360" w:lineRule="auto"/>
              <w:jc w:val="both"/>
              <w:rPr>
                <w:noProof/>
                <w:sz w:val="24"/>
                <w:szCs w:val="24"/>
                <w:lang w:eastAsia="en-US"/>
              </w:rPr>
            </w:pPr>
          </w:p>
        </w:tc>
        <w:tc>
          <w:tcPr>
            <w:tcW w:w="624" w:type="dxa"/>
          </w:tcPr>
          <w:p w14:paraId="25F3A5C5"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(ג)</w:t>
            </w:r>
          </w:p>
        </w:tc>
        <w:tc>
          <w:tcPr>
            <w:tcW w:w="4025" w:type="dxa"/>
          </w:tcPr>
          <w:p w14:paraId="0F2B4FCF"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(1)</w:t>
            </w:r>
            <w:r w:rsidRPr="000C37D3">
              <w:rPr>
                <w:noProof/>
                <w:sz w:val="24"/>
                <w:szCs w:val="24"/>
                <w:rtl/>
                <w:lang w:eastAsia="en-US"/>
              </w:rPr>
              <w:tab/>
              <w:t>פניה מוקדמת תוגש על גבי הטופס שייקבע בתקנות ויפורטו בה עילת התביעה, הקבוצה בשמה מוגשת הפניה והפיצוי או הסעד המבוקש עבור הקבוצה.</w:t>
            </w:r>
          </w:p>
        </w:tc>
      </w:tr>
      <w:tr w:rsidR="00A136B9" w:rsidRPr="000C37D3" w14:paraId="4D55F19E" w14:textId="77777777" w:rsidTr="00A73AA5">
        <w:trPr>
          <w:cantSplit/>
          <w:trHeight w:val="60"/>
        </w:trPr>
        <w:tc>
          <w:tcPr>
            <w:tcW w:w="1869" w:type="dxa"/>
          </w:tcPr>
          <w:p w14:paraId="4C982768" w14:textId="77777777" w:rsidR="00A136B9" w:rsidRPr="000C37D3" w:rsidRDefault="00A136B9" w:rsidP="00A73AA5">
            <w:pPr>
              <w:spacing w:line="360" w:lineRule="auto"/>
              <w:jc w:val="both"/>
              <w:rPr>
                <w:noProof/>
                <w:sz w:val="24"/>
                <w:szCs w:val="24"/>
                <w:lang w:eastAsia="en-US"/>
              </w:rPr>
            </w:pPr>
          </w:p>
        </w:tc>
        <w:tc>
          <w:tcPr>
            <w:tcW w:w="624" w:type="dxa"/>
          </w:tcPr>
          <w:p w14:paraId="042C8C03" w14:textId="77777777" w:rsidR="00A136B9" w:rsidRPr="000C37D3" w:rsidRDefault="00A136B9" w:rsidP="00A73AA5">
            <w:pPr>
              <w:spacing w:line="360" w:lineRule="auto"/>
              <w:jc w:val="both"/>
              <w:rPr>
                <w:noProof/>
                <w:sz w:val="24"/>
                <w:szCs w:val="24"/>
                <w:lang w:eastAsia="en-US"/>
              </w:rPr>
            </w:pPr>
          </w:p>
        </w:tc>
        <w:tc>
          <w:tcPr>
            <w:tcW w:w="624" w:type="dxa"/>
          </w:tcPr>
          <w:p w14:paraId="3C0410A7" w14:textId="77777777" w:rsidR="00A136B9" w:rsidRPr="000C37D3" w:rsidRDefault="00A136B9" w:rsidP="00A73AA5">
            <w:pPr>
              <w:spacing w:line="360" w:lineRule="auto"/>
              <w:jc w:val="both"/>
              <w:rPr>
                <w:noProof/>
                <w:sz w:val="24"/>
                <w:szCs w:val="24"/>
                <w:lang w:eastAsia="en-US"/>
              </w:rPr>
            </w:pPr>
          </w:p>
        </w:tc>
        <w:tc>
          <w:tcPr>
            <w:tcW w:w="624" w:type="dxa"/>
          </w:tcPr>
          <w:p w14:paraId="02FFAE0A" w14:textId="77777777" w:rsidR="00A136B9" w:rsidRPr="000C37D3" w:rsidRDefault="00A136B9" w:rsidP="00A73AA5">
            <w:pPr>
              <w:spacing w:line="360" w:lineRule="auto"/>
              <w:jc w:val="both"/>
              <w:rPr>
                <w:noProof/>
                <w:sz w:val="24"/>
                <w:szCs w:val="24"/>
                <w:lang w:eastAsia="en-US"/>
              </w:rPr>
            </w:pPr>
          </w:p>
        </w:tc>
        <w:tc>
          <w:tcPr>
            <w:tcW w:w="624" w:type="dxa"/>
          </w:tcPr>
          <w:p w14:paraId="25C4612B" w14:textId="77777777" w:rsidR="00A136B9" w:rsidRPr="000C37D3" w:rsidRDefault="00A136B9" w:rsidP="00A73AA5">
            <w:pPr>
              <w:spacing w:line="360" w:lineRule="auto"/>
              <w:jc w:val="both"/>
              <w:rPr>
                <w:noProof/>
                <w:sz w:val="24"/>
                <w:szCs w:val="24"/>
                <w:lang w:eastAsia="en-US"/>
              </w:rPr>
            </w:pPr>
          </w:p>
        </w:tc>
        <w:tc>
          <w:tcPr>
            <w:tcW w:w="624" w:type="dxa"/>
          </w:tcPr>
          <w:p w14:paraId="79D0768D" w14:textId="77777777" w:rsidR="00A136B9" w:rsidRPr="000C37D3" w:rsidRDefault="00A136B9" w:rsidP="00A73AA5">
            <w:pPr>
              <w:spacing w:line="360" w:lineRule="auto"/>
              <w:jc w:val="both"/>
              <w:rPr>
                <w:noProof/>
                <w:sz w:val="24"/>
                <w:szCs w:val="24"/>
                <w:lang w:eastAsia="en-US"/>
              </w:rPr>
            </w:pPr>
          </w:p>
        </w:tc>
        <w:tc>
          <w:tcPr>
            <w:tcW w:w="624" w:type="dxa"/>
          </w:tcPr>
          <w:p w14:paraId="4D60FE73" w14:textId="77777777" w:rsidR="00A136B9" w:rsidRPr="000C37D3" w:rsidRDefault="00A136B9" w:rsidP="00A73AA5">
            <w:pPr>
              <w:spacing w:line="360" w:lineRule="auto"/>
              <w:jc w:val="both"/>
              <w:rPr>
                <w:noProof/>
                <w:sz w:val="24"/>
                <w:szCs w:val="24"/>
                <w:rtl/>
                <w:lang w:eastAsia="en-US"/>
              </w:rPr>
            </w:pPr>
          </w:p>
        </w:tc>
        <w:tc>
          <w:tcPr>
            <w:tcW w:w="4025" w:type="dxa"/>
          </w:tcPr>
          <w:p w14:paraId="1D0E6C1A"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(2)</w:t>
            </w:r>
            <w:r w:rsidRPr="000C37D3">
              <w:rPr>
                <w:noProof/>
                <w:sz w:val="24"/>
                <w:szCs w:val="24"/>
                <w:rtl/>
                <w:lang w:eastAsia="en-US"/>
              </w:rPr>
              <w:tab/>
              <w:t>פניה מוקדמת תימסר למשיב במסירה אישית או באמצעות דואר רשום בצירוף אישור מסירה.</w:t>
            </w:r>
          </w:p>
        </w:tc>
      </w:tr>
      <w:tr w:rsidR="00A136B9" w:rsidRPr="000C37D3" w14:paraId="09B4996B" w14:textId="77777777" w:rsidTr="00A73AA5">
        <w:trPr>
          <w:cantSplit/>
        </w:trPr>
        <w:tc>
          <w:tcPr>
            <w:tcW w:w="1869" w:type="dxa"/>
          </w:tcPr>
          <w:p w14:paraId="752321DF" w14:textId="77777777" w:rsidR="00A136B9" w:rsidRPr="000C37D3" w:rsidRDefault="00A136B9" w:rsidP="00A73AA5">
            <w:pPr>
              <w:spacing w:line="360" w:lineRule="auto"/>
              <w:jc w:val="both"/>
              <w:rPr>
                <w:noProof/>
                <w:sz w:val="24"/>
                <w:szCs w:val="24"/>
                <w:lang w:eastAsia="en-US"/>
              </w:rPr>
            </w:pPr>
          </w:p>
        </w:tc>
        <w:tc>
          <w:tcPr>
            <w:tcW w:w="624" w:type="dxa"/>
          </w:tcPr>
          <w:p w14:paraId="5FD7624B" w14:textId="77777777" w:rsidR="00A136B9" w:rsidRPr="000C37D3" w:rsidRDefault="00A136B9" w:rsidP="00A73AA5">
            <w:pPr>
              <w:spacing w:line="360" w:lineRule="auto"/>
              <w:jc w:val="both"/>
              <w:rPr>
                <w:noProof/>
                <w:sz w:val="24"/>
                <w:szCs w:val="24"/>
                <w:lang w:eastAsia="en-US"/>
              </w:rPr>
            </w:pPr>
          </w:p>
        </w:tc>
        <w:tc>
          <w:tcPr>
            <w:tcW w:w="624" w:type="dxa"/>
          </w:tcPr>
          <w:p w14:paraId="64E2C1DE" w14:textId="77777777" w:rsidR="00A136B9" w:rsidRPr="000C37D3" w:rsidRDefault="00A136B9" w:rsidP="00A73AA5">
            <w:pPr>
              <w:spacing w:line="360" w:lineRule="auto"/>
              <w:jc w:val="both"/>
              <w:rPr>
                <w:noProof/>
                <w:sz w:val="24"/>
                <w:szCs w:val="24"/>
                <w:lang w:eastAsia="en-US"/>
              </w:rPr>
            </w:pPr>
          </w:p>
        </w:tc>
        <w:tc>
          <w:tcPr>
            <w:tcW w:w="624" w:type="dxa"/>
          </w:tcPr>
          <w:p w14:paraId="6A344DB1" w14:textId="77777777" w:rsidR="00A136B9" w:rsidRPr="000C37D3" w:rsidRDefault="00A136B9" w:rsidP="00A73AA5">
            <w:pPr>
              <w:spacing w:line="360" w:lineRule="auto"/>
              <w:jc w:val="both"/>
              <w:rPr>
                <w:noProof/>
                <w:sz w:val="24"/>
                <w:szCs w:val="24"/>
                <w:lang w:eastAsia="en-US"/>
              </w:rPr>
            </w:pPr>
          </w:p>
        </w:tc>
        <w:tc>
          <w:tcPr>
            <w:tcW w:w="624" w:type="dxa"/>
          </w:tcPr>
          <w:p w14:paraId="73957CA7" w14:textId="77777777" w:rsidR="00A136B9" w:rsidRPr="000C37D3" w:rsidRDefault="00A136B9" w:rsidP="00A73AA5">
            <w:pPr>
              <w:spacing w:line="360" w:lineRule="auto"/>
              <w:jc w:val="both"/>
              <w:rPr>
                <w:noProof/>
                <w:sz w:val="24"/>
                <w:szCs w:val="24"/>
                <w:lang w:eastAsia="en-US"/>
              </w:rPr>
            </w:pPr>
          </w:p>
        </w:tc>
        <w:tc>
          <w:tcPr>
            <w:tcW w:w="624" w:type="dxa"/>
          </w:tcPr>
          <w:p w14:paraId="48DC0E73" w14:textId="77777777" w:rsidR="00A136B9" w:rsidRPr="000C37D3" w:rsidRDefault="00A136B9" w:rsidP="00A73AA5">
            <w:pPr>
              <w:spacing w:line="360" w:lineRule="auto"/>
              <w:jc w:val="both"/>
              <w:rPr>
                <w:noProof/>
                <w:sz w:val="24"/>
                <w:szCs w:val="24"/>
                <w:lang w:eastAsia="en-US"/>
              </w:rPr>
            </w:pPr>
          </w:p>
        </w:tc>
        <w:tc>
          <w:tcPr>
            <w:tcW w:w="4649" w:type="dxa"/>
            <w:gridSpan w:val="2"/>
          </w:tcPr>
          <w:p w14:paraId="3D232E50"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(ד)</w:t>
            </w:r>
            <w:r w:rsidRPr="000C37D3">
              <w:rPr>
                <w:noProof/>
                <w:sz w:val="24"/>
                <w:szCs w:val="24"/>
                <w:rtl/>
                <w:lang w:eastAsia="en-US"/>
              </w:rPr>
              <w:tab/>
              <w:t xml:space="preserve">השיב המשיב בתוך 45 ימים לקבלת הפניה המוקדמת ובתשובתו כלל התחייבות, יהיה הפונה מנוע מלהגיש לבית המשפט בקשה לאישור תובענה ייצוגית לשם קבלת אותו פיצוי או סעד הכלול בהתחייבות המשיב. </w:t>
            </w:r>
          </w:p>
        </w:tc>
      </w:tr>
      <w:tr w:rsidR="00A136B9" w:rsidRPr="000C37D3" w14:paraId="2D7FACDD" w14:textId="77777777" w:rsidTr="00A73AA5">
        <w:trPr>
          <w:cantSplit/>
          <w:trHeight w:val="60"/>
        </w:trPr>
        <w:tc>
          <w:tcPr>
            <w:tcW w:w="1869" w:type="dxa"/>
          </w:tcPr>
          <w:p w14:paraId="706E55FD" w14:textId="77777777" w:rsidR="00A136B9" w:rsidRPr="000C37D3" w:rsidRDefault="00A136B9" w:rsidP="00A73AA5">
            <w:pPr>
              <w:spacing w:line="360" w:lineRule="auto"/>
              <w:jc w:val="both"/>
              <w:rPr>
                <w:noProof/>
                <w:sz w:val="24"/>
                <w:szCs w:val="24"/>
                <w:lang w:eastAsia="en-US"/>
              </w:rPr>
            </w:pPr>
          </w:p>
        </w:tc>
        <w:tc>
          <w:tcPr>
            <w:tcW w:w="624" w:type="dxa"/>
          </w:tcPr>
          <w:p w14:paraId="53E5CCFC" w14:textId="77777777" w:rsidR="00A136B9" w:rsidRPr="000C37D3" w:rsidRDefault="00A136B9" w:rsidP="00A73AA5">
            <w:pPr>
              <w:spacing w:line="360" w:lineRule="auto"/>
              <w:jc w:val="both"/>
              <w:rPr>
                <w:noProof/>
                <w:sz w:val="24"/>
                <w:szCs w:val="24"/>
                <w:lang w:eastAsia="en-US"/>
              </w:rPr>
            </w:pPr>
          </w:p>
        </w:tc>
        <w:tc>
          <w:tcPr>
            <w:tcW w:w="624" w:type="dxa"/>
          </w:tcPr>
          <w:p w14:paraId="31F5C5FA" w14:textId="77777777" w:rsidR="00A136B9" w:rsidRPr="000C37D3" w:rsidRDefault="00A136B9" w:rsidP="00A73AA5">
            <w:pPr>
              <w:spacing w:line="360" w:lineRule="auto"/>
              <w:jc w:val="both"/>
              <w:rPr>
                <w:noProof/>
                <w:sz w:val="24"/>
                <w:szCs w:val="24"/>
                <w:lang w:eastAsia="en-US"/>
              </w:rPr>
            </w:pPr>
          </w:p>
        </w:tc>
        <w:tc>
          <w:tcPr>
            <w:tcW w:w="624" w:type="dxa"/>
          </w:tcPr>
          <w:p w14:paraId="3CB8C6E9" w14:textId="77777777" w:rsidR="00A136B9" w:rsidRPr="000C37D3" w:rsidRDefault="00A136B9" w:rsidP="00A73AA5">
            <w:pPr>
              <w:spacing w:line="360" w:lineRule="auto"/>
              <w:jc w:val="both"/>
              <w:rPr>
                <w:noProof/>
                <w:sz w:val="24"/>
                <w:szCs w:val="24"/>
                <w:lang w:eastAsia="en-US"/>
              </w:rPr>
            </w:pPr>
          </w:p>
        </w:tc>
        <w:tc>
          <w:tcPr>
            <w:tcW w:w="624" w:type="dxa"/>
          </w:tcPr>
          <w:p w14:paraId="17B3B03D" w14:textId="77777777" w:rsidR="00A136B9" w:rsidRPr="000C37D3" w:rsidRDefault="00A136B9" w:rsidP="00A73AA5">
            <w:pPr>
              <w:spacing w:line="360" w:lineRule="auto"/>
              <w:jc w:val="both"/>
              <w:rPr>
                <w:noProof/>
                <w:sz w:val="24"/>
                <w:szCs w:val="24"/>
                <w:lang w:eastAsia="en-US"/>
              </w:rPr>
            </w:pPr>
          </w:p>
        </w:tc>
        <w:tc>
          <w:tcPr>
            <w:tcW w:w="624" w:type="dxa"/>
          </w:tcPr>
          <w:p w14:paraId="637CD499" w14:textId="77777777" w:rsidR="00A136B9" w:rsidRPr="000C37D3" w:rsidRDefault="00A136B9" w:rsidP="00A73AA5">
            <w:pPr>
              <w:spacing w:line="360" w:lineRule="auto"/>
              <w:jc w:val="both"/>
              <w:rPr>
                <w:noProof/>
                <w:sz w:val="24"/>
                <w:szCs w:val="24"/>
                <w:lang w:eastAsia="en-US"/>
              </w:rPr>
            </w:pPr>
          </w:p>
        </w:tc>
        <w:tc>
          <w:tcPr>
            <w:tcW w:w="624" w:type="dxa"/>
          </w:tcPr>
          <w:p w14:paraId="46F4D383"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(ה)</w:t>
            </w:r>
          </w:p>
        </w:tc>
        <w:tc>
          <w:tcPr>
            <w:tcW w:w="4025" w:type="dxa"/>
          </w:tcPr>
          <w:p w14:paraId="396331F1"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(1)</w:t>
            </w:r>
            <w:r w:rsidRPr="000C37D3">
              <w:rPr>
                <w:noProof/>
                <w:sz w:val="24"/>
                <w:szCs w:val="24"/>
                <w:rtl/>
                <w:lang w:eastAsia="en-US"/>
              </w:rPr>
              <w:tab/>
              <w:t>לשם ביצוע ההתחייבות רשאי בית המשפט, לבקשת הפונה, לקבוע דרכים ומועדים לביצוע ההתחייבות ולמנות מפקח על ביצוע ההתחייבות, וכן רשאי הוא לדרוש מהמשיב להעביר לו מידע הנדרש לו לצורך הפיקוח.</w:t>
            </w:r>
          </w:p>
        </w:tc>
      </w:tr>
      <w:tr w:rsidR="00A136B9" w:rsidRPr="000C37D3" w14:paraId="45CFCC3A" w14:textId="77777777" w:rsidTr="00A73AA5">
        <w:trPr>
          <w:cantSplit/>
          <w:trHeight w:val="60"/>
        </w:trPr>
        <w:tc>
          <w:tcPr>
            <w:tcW w:w="1869" w:type="dxa"/>
          </w:tcPr>
          <w:p w14:paraId="16176A9C" w14:textId="77777777" w:rsidR="00A136B9" w:rsidRPr="000C37D3" w:rsidRDefault="00A136B9" w:rsidP="00A73AA5">
            <w:pPr>
              <w:spacing w:line="360" w:lineRule="auto"/>
              <w:jc w:val="both"/>
              <w:rPr>
                <w:noProof/>
                <w:sz w:val="24"/>
                <w:szCs w:val="24"/>
                <w:lang w:eastAsia="en-US"/>
              </w:rPr>
            </w:pPr>
          </w:p>
        </w:tc>
        <w:tc>
          <w:tcPr>
            <w:tcW w:w="624" w:type="dxa"/>
          </w:tcPr>
          <w:p w14:paraId="1B61B1B9" w14:textId="77777777" w:rsidR="00A136B9" w:rsidRPr="000C37D3" w:rsidRDefault="00A136B9" w:rsidP="00A73AA5">
            <w:pPr>
              <w:spacing w:line="360" w:lineRule="auto"/>
              <w:jc w:val="both"/>
              <w:rPr>
                <w:noProof/>
                <w:sz w:val="24"/>
                <w:szCs w:val="24"/>
                <w:lang w:eastAsia="en-US"/>
              </w:rPr>
            </w:pPr>
          </w:p>
        </w:tc>
        <w:tc>
          <w:tcPr>
            <w:tcW w:w="624" w:type="dxa"/>
          </w:tcPr>
          <w:p w14:paraId="0DEBD1E3" w14:textId="77777777" w:rsidR="00A136B9" w:rsidRPr="000C37D3" w:rsidRDefault="00A136B9" w:rsidP="00A73AA5">
            <w:pPr>
              <w:spacing w:line="360" w:lineRule="auto"/>
              <w:jc w:val="both"/>
              <w:rPr>
                <w:noProof/>
                <w:sz w:val="24"/>
                <w:szCs w:val="24"/>
                <w:lang w:eastAsia="en-US"/>
              </w:rPr>
            </w:pPr>
          </w:p>
        </w:tc>
        <w:tc>
          <w:tcPr>
            <w:tcW w:w="624" w:type="dxa"/>
          </w:tcPr>
          <w:p w14:paraId="2ADFB67A" w14:textId="77777777" w:rsidR="00A136B9" w:rsidRPr="000C37D3" w:rsidRDefault="00A136B9" w:rsidP="00A73AA5">
            <w:pPr>
              <w:spacing w:line="360" w:lineRule="auto"/>
              <w:jc w:val="both"/>
              <w:rPr>
                <w:noProof/>
                <w:sz w:val="24"/>
                <w:szCs w:val="24"/>
                <w:lang w:eastAsia="en-US"/>
              </w:rPr>
            </w:pPr>
          </w:p>
        </w:tc>
        <w:tc>
          <w:tcPr>
            <w:tcW w:w="624" w:type="dxa"/>
          </w:tcPr>
          <w:p w14:paraId="636824F5" w14:textId="77777777" w:rsidR="00A136B9" w:rsidRPr="000C37D3" w:rsidRDefault="00A136B9" w:rsidP="00A73AA5">
            <w:pPr>
              <w:spacing w:line="360" w:lineRule="auto"/>
              <w:jc w:val="both"/>
              <w:rPr>
                <w:noProof/>
                <w:sz w:val="24"/>
                <w:szCs w:val="24"/>
                <w:lang w:eastAsia="en-US"/>
              </w:rPr>
            </w:pPr>
          </w:p>
        </w:tc>
        <w:tc>
          <w:tcPr>
            <w:tcW w:w="624" w:type="dxa"/>
          </w:tcPr>
          <w:p w14:paraId="2D5EC583" w14:textId="77777777" w:rsidR="00A136B9" w:rsidRPr="000C37D3" w:rsidRDefault="00A136B9" w:rsidP="00A73AA5">
            <w:pPr>
              <w:spacing w:line="360" w:lineRule="auto"/>
              <w:jc w:val="both"/>
              <w:rPr>
                <w:noProof/>
                <w:sz w:val="24"/>
                <w:szCs w:val="24"/>
                <w:lang w:eastAsia="en-US"/>
              </w:rPr>
            </w:pPr>
          </w:p>
        </w:tc>
        <w:tc>
          <w:tcPr>
            <w:tcW w:w="624" w:type="dxa"/>
          </w:tcPr>
          <w:p w14:paraId="27CC0BC2" w14:textId="77777777" w:rsidR="00A136B9" w:rsidRPr="000C37D3" w:rsidRDefault="00A136B9" w:rsidP="00A73AA5">
            <w:pPr>
              <w:spacing w:line="360" w:lineRule="auto"/>
              <w:jc w:val="both"/>
              <w:rPr>
                <w:noProof/>
                <w:sz w:val="24"/>
                <w:szCs w:val="24"/>
                <w:lang w:eastAsia="en-US"/>
              </w:rPr>
            </w:pPr>
          </w:p>
        </w:tc>
        <w:tc>
          <w:tcPr>
            <w:tcW w:w="4025" w:type="dxa"/>
          </w:tcPr>
          <w:p w14:paraId="59EBCACC"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(2)</w:t>
            </w:r>
            <w:r w:rsidRPr="000C37D3">
              <w:rPr>
                <w:noProof/>
                <w:sz w:val="24"/>
                <w:szCs w:val="24"/>
                <w:rtl/>
                <w:lang w:eastAsia="en-US"/>
              </w:rPr>
              <w:tab/>
              <w:t>התבקש בית המשפט כאמור בפסקה (1), רשאי הוא להורות למשיב לשלם גמול או שכר טרחה נוסף על האמור בסעיף קטן (ו) לפונה, לעורך דינו ולמפקח; בקביעת הגמול או שכר הטרחה יתחשב בית המשפט בתועלת שהביאה הפניה המוקדמת לחברי הקבוצה או לציבור ובמורכבות הפיקוח הנדרש; גמול לפי סעיף זה ישולם רק לאחר ביצוע ההתחייבות במלואה.</w:t>
            </w:r>
          </w:p>
        </w:tc>
      </w:tr>
      <w:tr w:rsidR="00A136B9" w:rsidRPr="000C37D3" w14:paraId="32FB6DA4" w14:textId="77777777" w:rsidTr="00A73AA5">
        <w:trPr>
          <w:cantSplit/>
          <w:trHeight w:val="60"/>
        </w:trPr>
        <w:tc>
          <w:tcPr>
            <w:tcW w:w="1869" w:type="dxa"/>
          </w:tcPr>
          <w:p w14:paraId="4FDA97EC" w14:textId="77777777" w:rsidR="00A136B9" w:rsidRPr="000C37D3" w:rsidRDefault="00A136B9" w:rsidP="00A73AA5">
            <w:pPr>
              <w:spacing w:line="360" w:lineRule="auto"/>
              <w:jc w:val="both"/>
              <w:rPr>
                <w:noProof/>
                <w:sz w:val="24"/>
                <w:szCs w:val="24"/>
                <w:lang w:eastAsia="en-US"/>
              </w:rPr>
            </w:pPr>
          </w:p>
        </w:tc>
        <w:tc>
          <w:tcPr>
            <w:tcW w:w="624" w:type="dxa"/>
          </w:tcPr>
          <w:p w14:paraId="1003242F" w14:textId="77777777" w:rsidR="00A136B9" w:rsidRPr="000C37D3" w:rsidRDefault="00A136B9" w:rsidP="00A73AA5">
            <w:pPr>
              <w:spacing w:line="360" w:lineRule="auto"/>
              <w:jc w:val="both"/>
              <w:rPr>
                <w:noProof/>
                <w:sz w:val="24"/>
                <w:szCs w:val="24"/>
                <w:lang w:eastAsia="en-US"/>
              </w:rPr>
            </w:pPr>
          </w:p>
        </w:tc>
        <w:tc>
          <w:tcPr>
            <w:tcW w:w="624" w:type="dxa"/>
          </w:tcPr>
          <w:p w14:paraId="638FE4AE" w14:textId="77777777" w:rsidR="00A136B9" w:rsidRPr="000C37D3" w:rsidRDefault="00A136B9" w:rsidP="00A73AA5">
            <w:pPr>
              <w:spacing w:line="360" w:lineRule="auto"/>
              <w:jc w:val="both"/>
              <w:rPr>
                <w:noProof/>
                <w:sz w:val="24"/>
                <w:szCs w:val="24"/>
                <w:lang w:eastAsia="en-US"/>
              </w:rPr>
            </w:pPr>
          </w:p>
        </w:tc>
        <w:tc>
          <w:tcPr>
            <w:tcW w:w="624" w:type="dxa"/>
          </w:tcPr>
          <w:p w14:paraId="2244DD9A" w14:textId="77777777" w:rsidR="00A136B9" w:rsidRPr="000C37D3" w:rsidRDefault="00A136B9" w:rsidP="00A73AA5">
            <w:pPr>
              <w:spacing w:line="360" w:lineRule="auto"/>
              <w:jc w:val="both"/>
              <w:rPr>
                <w:noProof/>
                <w:sz w:val="24"/>
                <w:szCs w:val="24"/>
                <w:lang w:eastAsia="en-US"/>
              </w:rPr>
            </w:pPr>
          </w:p>
        </w:tc>
        <w:tc>
          <w:tcPr>
            <w:tcW w:w="624" w:type="dxa"/>
          </w:tcPr>
          <w:p w14:paraId="46F6101F" w14:textId="77777777" w:rsidR="00A136B9" w:rsidRPr="000C37D3" w:rsidRDefault="00A136B9" w:rsidP="00A73AA5">
            <w:pPr>
              <w:spacing w:line="360" w:lineRule="auto"/>
              <w:jc w:val="both"/>
              <w:rPr>
                <w:noProof/>
                <w:sz w:val="24"/>
                <w:szCs w:val="24"/>
                <w:lang w:eastAsia="en-US"/>
              </w:rPr>
            </w:pPr>
          </w:p>
        </w:tc>
        <w:tc>
          <w:tcPr>
            <w:tcW w:w="624" w:type="dxa"/>
          </w:tcPr>
          <w:p w14:paraId="68D5516C" w14:textId="77777777" w:rsidR="00A136B9" w:rsidRPr="000C37D3" w:rsidRDefault="00A136B9" w:rsidP="00A73AA5">
            <w:pPr>
              <w:spacing w:line="360" w:lineRule="auto"/>
              <w:jc w:val="both"/>
              <w:rPr>
                <w:noProof/>
                <w:sz w:val="24"/>
                <w:szCs w:val="24"/>
                <w:lang w:eastAsia="en-US"/>
              </w:rPr>
            </w:pPr>
          </w:p>
        </w:tc>
        <w:tc>
          <w:tcPr>
            <w:tcW w:w="624" w:type="dxa"/>
          </w:tcPr>
          <w:p w14:paraId="5AA1861B"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(ו)</w:t>
            </w:r>
          </w:p>
        </w:tc>
        <w:tc>
          <w:tcPr>
            <w:tcW w:w="4025" w:type="dxa"/>
          </w:tcPr>
          <w:p w14:paraId="01A2ACE7" w14:textId="77777777" w:rsidR="00A136B9" w:rsidRDefault="00A136B9" w:rsidP="008E7FB8">
            <w:pPr>
              <w:spacing w:line="360" w:lineRule="auto"/>
              <w:jc w:val="both"/>
              <w:rPr>
                <w:noProof/>
                <w:sz w:val="24"/>
                <w:szCs w:val="24"/>
                <w:rtl/>
                <w:lang w:eastAsia="en-US"/>
              </w:rPr>
            </w:pPr>
            <w:r w:rsidRPr="000C37D3">
              <w:rPr>
                <w:noProof/>
                <w:sz w:val="24"/>
                <w:szCs w:val="24"/>
                <w:rtl/>
                <w:lang w:eastAsia="en-US"/>
              </w:rPr>
              <w:t>(1)</w:t>
            </w:r>
            <w:r w:rsidRPr="000C37D3">
              <w:rPr>
                <w:noProof/>
                <w:sz w:val="24"/>
                <w:szCs w:val="24"/>
                <w:rtl/>
                <w:lang w:eastAsia="en-US"/>
              </w:rPr>
              <w:tab/>
              <w:t xml:space="preserve">השיב המשיב כאמור בסעיף קטן (ד), ישלם המשיב לפונה גמול בסך 2,500 שקלים חדשים, ואם עלה סכום </w:t>
            </w:r>
            <w:r w:rsidR="008E7FB8">
              <w:rPr>
                <w:rFonts w:hint="cs"/>
                <w:noProof/>
                <w:sz w:val="24"/>
                <w:szCs w:val="24"/>
                <w:rtl/>
                <w:lang w:eastAsia="en-US"/>
              </w:rPr>
              <w:t xml:space="preserve">הנזק </w:t>
            </w:r>
            <w:r w:rsidRPr="000C37D3">
              <w:rPr>
                <w:noProof/>
                <w:sz w:val="24"/>
                <w:szCs w:val="24"/>
                <w:rtl/>
                <w:lang w:eastAsia="en-US"/>
              </w:rPr>
              <w:t>על 1</w:t>
            </w:r>
            <w:r w:rsidR="009B09E6">
              <w:rPr>
                <w:rFonts w:hint="cs"/>
                <w:noProof/>
                <w:sz w:val="24"/>
                <w:szCs w:val="24"/>
                <w:rtl/>
                <w:lang w:eastAsia="en-US"/>
              </w:rPr>
              <w:t>,</w:t>
            </w:r>
            <w:r w:rsidRPr="000C37D3">
              <w:rPr>
                <w:noProof/>
                <w:sz w:val="24"/>
                <w:szCs w:val="24"/>
                <w:rtl/>
                <w:lang w:eastAsia="en-US"/>
              </w:rPr>
              <w:t>00</w:t>
            </w:r>
            <w:r w:rsidR="009B09E6">
              <w:rPr>
                <w:rFonts w:hint="cs"/>
                <w:noProof/>
                <w:sz w:val="24"/>
                <w:szCs w:val="24"/>
                <w:rtl/>
                <w:lang w:eastAsia="en-US"/>
              </w:rPr>
              <w:t>0</w:t>
            </w:r>
            <w:r w:rsidRPr="000C37D3">
              <w:rPr>
                <w:noProof/>
                <w:sz w:val="24"/>
                <w:szCs w:val="24"/>
                <w:rtl/>
                <w:lang w:eastAsia="en-US"/>
              </w:rPr>
              <w:t>,000 שקלים חדשים – ישלם גמול בסך 500 שקלים חדשים לכל 1</w:t>
            </w:r>
            <w:r w:rsidR="009B09E6">
              <w:rPr>
                <w:rFonts w:hint="cs"/>
                <w:noProof/>
                <w:sz w:val="24"/>
                <w:szCs w:val="24"/>
                <w:rtl/>
                <w:lang w:eastAsia="en-US"/>
              </w:rPr>
              <w:t>,0</w:t>
            </w:r>
            <w:r w:rsidRPr="000C37D3">
              <w:rPr>
                <w:noProof/>
                <w:sz w:val="24"/>
                <w:szCs w:val="24"/>
                <w:rtl/>
                <w:lang w:eastAsia="en-US"/>
              </w:rPr>
              <w:t>00,000 שקלים חדשים או חלק מהם.</w:t>
            </w:r>
          </w:p>
          <w:p w14:paraId="58CFCD64" w14:textId="77777777" w:rsidR="008E7FB8" w:rsidRDefault="008E7FB8" w:rsidP="008E7FB8">
            <w:pPr>
              <w:spacing w:line="360" w:lineRule="auto"/>
              <w:jc w:val="both"/>
              <w:rPr>
                <w:noProof/>
                <w:sz w:val="24"/>
                <w:szCs w:val="24"/>
                <w:rtl/>
                <w:lang w:eastAsia="en-US"/>
              </w:rPr>
            </w:pPr>
          </w:p>
          <w:p w14:paraId="37076D5E" w14:textId="77777777" w:rsidR="008E7FB8" w:rsidRPr="000C37D3" w:rsidRDefault="008E7FB8" w:rsidP="006D235F">
            <w:pPr>
              <w:spacing w:line="360" w:lineRule="auto"/>
              <w:jc w:val="both"/>
              <w:rPr>
                <w:noProof/>
                <w:sz w:val="24"/>
                <w:szCs w:val="24"/>
                <w:rtl/>
                <w:lang w:eastAsia="en-US"/>
              </w:rPr>
            </w:pPr>
            <w:r>
              <w:rPr>
                <w:rFonts w:hint="cs"/>
                <w:noProof/>
                <w:sz w:val="24"/>
                <w:szCs w:val="24"/>
                <w:rtl/>
                <w:lang w:eastAsia="en-US"/>
              </w:rPr>
              <w:t xml:space="preserve">(2) היה העוסק עסק </w:t>
            </w:r>
            <w:r w:rsidR="006D235F">
              <w:rPr>
                <w:rFonts w:hint="cs"/>
                <w:noProof/>
                <w:sz w:val="24"/>
                <w:szCs w:val="24"/>
                <w:rtl/>
                <w:lang w:eastAsia="en-US"/>
              </w:rPr>
              <w:t xml:space="preserve">זעיר, </w:t>
            </w:r>
            <w:r>
              <w:rPr>
                <w:rFonts w:hint="cs"/>
                <w:noProof/>
                <w:sz w:val="24"/>
                <w:szCs w:val="24"/>
                <w:rtl/>
                <w:lang w:eastAsia="en-US"/>
              </w:rPr>
              <w:t xml:space="preserve">קטן או בינוני כהגדרתו </w:t>
            </w:r>
            <w:r w:rsidR="00C620D6">
              <w:rPr>
                <w:rFonts w:hint="cs"/>
                <w:noProof/>
                <w:sz w:val="24"/>
                <w:szCs w:val="24"/>
                <w:rtl/>
                <w:lang w:eastAsia="en-US"/>
              </w:rPr>
              <w:t xml:space="preserve">בהחלטת הממשלה </w:t>
            </w:r>
            <w:r w:rsidR="00C620D6" w:rsidRPr="00C620D6">
              <w:rPr>
                <w:noProof/>
                <w:sz w:val="24"/>
                <w:szCs w:val="24"/>
                <w:rtl/>
                <w:lang w:eastAsia="en-US"/>
              </w:rPr>
              <w:t>מס' 2190</w:t>
            </w:r>
            <w:r w:rsidR="00C620D6">
              <w:rPr>
                <w:rFonts w:hint="cs"/>
                <w:noProof/>
                <w:sz w:val="24"/>
                <w:szCs w:val="24"/>
                <w:rtl/>
                <w:lang w:eastAsia="en-US"/>
              </w:rPr>
              <w:t>,</w:t>
            </w:r>
            <w:r w:rsidR="00C620D6" w:rsidRPr="00C620D6">
              <w:rPr>
                <w:noProof/>
                <w:sz w:val="24"/>
                <w:szCs w:val="24"/>
                <w:rtl/>
                <w:lang w:eastAsia="en-US"/>
              </w:rPr>
              <w:t xml:space="preserve"> </w:t>
            </w:r>
            <w:r w:rsidR="00C620D6">
              <w:rPr>
                <w:rFonts w:hint="cs"/>
                <w:noProof/>
                <w:sz w:val="24"/>
                <w:szCs w:val="24"/>
                <w:rtl/>
                <w:lang w:eastAsia="en-US"/>
              </w:rPr>
              <w:t xml:space="preserve">מיום </w:t>
            </w:r>
            <w:r w:rsidR="00C620D6" w:rsidRPr="00C620D6">
              <w:rPr>
                <w:noProof/>
                <w:sz w:val="24"/>
                <w:szCs w:val="24"/>
                <w:rtl/>
                <w:lang w:eastAsia="en-US"/>
              </w:rPr>
              <w:t xml:space="preserve">12 באוגוסט </w:t>
            </w:r>
            <w:r w:rsidR="006D235F">
              <w:rPr>
                <w:rStyle w:val="FootnoteReference"/>
                <w:noProof/>
                <w:sz w:val="24"/>
                <w:szCs w:val="24"/>
                <w:rtl/>
                <w:lang w:eastAsia="en-US"/>
              </w:rPr>
              <w:footnoteReference w:id="2"/>
            </w:r>
            <w:r w:rsidR="00C620D6" w:rsidRPr="00C620D6">
              <w:rPr>
                <w:noProof/>
                <w:sz w:val="24"/>
                <w:szCs w:val="24"/>
                <w:rtl/>
                <w:lang w:eastAsia="en-US"/>
              </w:rPr>
              <w:t>2007</w:t>
            </w:r>
            <w:r w:rsidR="00C620D6" w:rsidRPr="00C620D6">
              <w:rPr>
                <w:noProof/>
                <w:sz w:val="24"/>
                <w:szCs w:val="24"/>
                <w:lang w:eastAsia="en-US"/>
              </w:rPr>
              <w:t>.</w:t>
            </w:r>
            <w:r w:rsidR="00C620D6">
              <w:rPr>
                <w:rFonts w:hint="cs"/>
                <w:noProof/>
                <w:sz w:val="24"/>
                <w:szCs w:val="24"/>
                <w:rtl/>
                <w:lang w:eastAsia="en-US"/>
              </w:rPr>
              <w:t xml:space="preserve"> לא יחויב לשלם גמול לפונה ופיצוי לקבוצה בסכום מצטבר העולה על 10 אחוזים מרווחי העסק בשנת המס</w:t>
            </w:r>
            <w:r w:rsidR="006D235F">
              <w:rPr>
                <w:rFonts w:hint="cs"/>
                <w:noProof/>
                <w:sz w:val="24"/>
                <w:szCs w:val="24"/>
                <w:rtl/>
                <w:lang w:eastAsia="en-US"/>
              </w:rPr>
              <w:t xml:space="preserve"> הקודמת או שנת המס האחרונה</w:t>
            </w:r>
            <w:r w:rsidR="00C620D6">
              <w:rPr>
                <w:rFonts w:hint="cs"/>
                <w:noProof/>
                <w:sz w:val="24"/>
                <w:szCs w:val="24"/>
                <w:rtl/>
                <w:lang w:eastAsia="en-US"/>
              </w:rPr>
              <w:t xml:space="preserve"> לגביה הוגשו דו"חות לרשויות המס.</w:t>
            </w:r>
          </w:p>
        </w:tc>
      </w:tr>
      <w:tr w:rsidR="00A136B9" w:rsidRPr="000C37D3" w14:paraId="4182130A" w14:textId="77777777" w:rsidTr="00A73AA5">
        <w:trPr>
          <w:cantSplit/>
          <w:trHeight w:val="60"/>
        </w:trPr>
        <w:tc>
          <w:tcPr>
            <w:tcW w:w="1869" w:type="dxa"/>
          </w:tcPr>
          <w:p w14:paraId="72A9F2C8" w14:textId="77777777" w:rsidR="00A136B9" w:rsidRPr="000C37D3" w:rsidRDefault="00A136B9" w:rsidP="00A73AA5">
            <w:pPr>
              <w:spacing w:line="360" w:lineRule="auto"/>
              <w:jc w:val="both"/>
              <w:rPr>
                <w:noProof/>
                <w:sz w:val="24"/>
                <w:szCs w:val="24"/>
                <w:lang w:eastAsia="en-US"/>
              </w:rPr>
            </w:pPr>
          </w:p>
        </w:tc>
        <w:tc>
          <w:tcPr>
            <w:tcW w:w="624" w:type="dxa"/>
          </w:tcPr>
          <w:p w14:paraId="7CD3EA6C" w14:textId="77777777" w:rsidR="00A136B9" w:rsidRPr="000C37D3" w:rsidRDefault="00A136B9" w:rsidP="00A73AA5">
            <w:pPr>
              <w:spacing w:line="360" w:lineRule="auto"/>
              <w:jc w:val="both"/>
              <w:rPr>
                <w:noProof/>
                <w:sz w:val="24"/>
                <w:szCs w:val="24"/>
                <w:lang w:eastAsia="en-US"/>
              </w:rPr>
            </w:pPr>
          </w:p>
        </w:tc>
        <w:tc>
          <w:tcPr>
            <w:tcW w:w="624" w:type="dxa"/>
          </w:tcPr>
          <w:p w14:paraId="68D53688" w14:textId="77777777" w:rsidR="00A136B9" w:rsidRPr="000C37D3" w:rsidRDefault="00A136B9" w:rsidP="00A73AA5">
            <w:pPr>
              <w:spacing w:line="360" w:lineRule="auto"/>
              <w:jc w:val="both"/>
              <w:rPr>
                <w:noProof/>
                <w:sz w:val="24"/>
                <w:szCs w:val="24"/>
                <w:lang w:eastAsia="en-US"/>
              </w:rPr>
            </w:pPr>
          </w:p>
        </w:tc>
        <w:tc>
          <w:tcPr>
            <w:tcW w:w="624" w:type="dxa"/>
          </w:tcPr>
          <w:p w14:paraId="5699DEA4" w14:textId="77777777" w:rsidR="00A136B9" w:rsidRPr="000C37D3" w:rsidRDefault="00A136B9" w:rsidP="00A73AA5">
            <w:pPr>
              <w:spacing w:line="360" w:lineRule="auto"/>
              <w:jc w:val="both"/>
              <w:rPr>
                <w:noProof/>
                <w:sz w:val="24"/>
                <w:szCs w:val="24"/>
                <w:lang w:eastAsia="en-US"/>
              </w:rPr>
            </w:pPr>
          </w:p>
        </w:tc>
        <w:tc>
          <w:tcPr>
            <w:tcW w:w="624" w:type="dxa"/>
          </w:tcPr>
          <w:p w14:paraId="67FF0E3F" w14:textId="77777777" w:rsidR="00A136B9" w:rsidRPr="000C37D3" w:rsidRDefault="00A136B9" w:rsidP="00A73AA5">
            <w:pPr>
              <w:spacing w:line="360" w:lineRule="auto"/>
              <w:jc w:val="both"/>
              <w:rPr>
                <w:noProof/>
                <w:sz w:val="24"/>
                <w:szCs w:val="24"/>
                <w:lang w:eastAsia="en-US"/>
              </w:rPr>
            </w:pPr>
          </w:p>
        </w:tc>
        <w:tc>
          <w:tcPr>
            <w:tcW w:w="624" w:type="dxa"/>
          </w:tcPr>
          <w:p w14:paraId="3ED26A78" w14:textId="77777777" w:rsidR="00A136B9" w:rsidRPr="000C37D3" w:rsidRDefault="00A136B9" w:rsidP="00A73AA5">
            <w:pPr>
              <w:spacing w:line="360" w:lineRule="auto"/>
              <w:jc w:val="both"/>
              <w:rPr>
                <w:noProof/>
                <w:sz w:val="24"/>
                <w:szCs w:val="24"/>
                <w:lang w:eastAsia="en-US"/>
              </w:rPr>
            </w:pPr>
          </w:p>
        </w:tc>
        <w:tc>
          <w:tcPr>
            <w:tcW w:w="624" w:type="dxa"/>
          </w:tcPr>
          <w:p w14:paraId="294B406E" w14:textId="77777777" w:rsidR="00A136B9" w:rsidRPr="000C37D3" w:rsidRDefault="00A136B9" w:rsidP="00A73AA5">
            <w:pPr>
              <w:spacing w:line="360" w:lineRule="auto"/>
              <w:jc w:val="both"/>
              <w:rPr>
                <w:noProof/>
                <w:sz w:val="24"/>
                <w:szCs w:val="24"/>
                <w:rtl/>
                <w:lang w:eastAsia="en-US"/>
              </w:rPr>
            </w:pPr>
          </w:p>
        </w:tc>
        <w:tc>
          <w:tcPr>
            <w:tcW w:w="4025" w:type="dxa"/>
          </w:tcPr>
          <w:p w14:paraId="46F396B3" w14:textId="77777777" w:rsidR="008E7FB8" w:rsidRDefault="00A136B9" w:rsidP="00A37117">
            <w:pPr>
              <w:spacing w:line="360" w:lineRule="auto"/>
              <w:jc w:val="both"/>
              <w:rPr>
                <w:noProof/>
                <w:sz w:val="24"/>
                <w:szCs w:val="24"/>
                <w:rtl/>
                <w:lang w:eastAsia="en-US"/>
              </w:rPr>
            </w:pPr>
            <w:r w:rsidRPr="000C37D3">
              <w:rPr>
                <w:noProof/>
                <w:sz w:val="24"/>
                <w:szCs w:val="24"/>
                <w:rtl/>
                <w:lang w:eastAsia="en-US"/>
              </w:rPr>
              <w:t>(</w:t>
            </w:r>
            <w:r w:rsidR="00A37117">
              <w:rPr>
                <w:rFonts w:hint="cs"/>
                <w:noProof/>
                <w:sz w:val="24"/>
                <w:szCs w:val="24"/>
                <w:rtl/>
                <w:lang w:eastAsia="en-US"/>
              </w:rPr>
              <w:t>3</w:t>
            </w:r>
            <w:r w:rsidRPr="000C37D3">
              <w:rPr>
                <w:noProof/>
                <w:sz w:val="24"/>
                <w:szCs w:val="24"/>
                <w:rtl/>
                <w:lang w:eastAsia="en-US"/>
              </w:rPr>
              <w:t>)</w:t>
            </w:r>
            <w:r w:rsidRPr="000C37D3">
              <w:rPr>
                <w:noProof/>
                <w:sz w:val="24"/>
                <w:szCs w:val="24"/>
                <w:rtl/>
                <w:lang w:eastAsia="en-US"/>
              </w:rPr>
              <w:tab/>
            </w:r>
            <w:r w:rsidR="008E7FB8">
              <w:rPr>
                <w:rFonts w:hint="cs"/>
                <w:noProof/>
                <w:sz w:val="24"/>
                <w:szCs w:val="24"/>
                <w:rtl/>
                <w:lang w:eastAsia="en-US"/>
              </w:rPr>
              <w:t xml:space="preserve">אישור גמול ההסתלקות יובא לאישור בפני בית המשפט, שיוכל לדחות את הפשרה המוצעת במקרים בהם הפנייה נראית קנטרנית, הנזק נכנס בגדרו של זוטי דברים, או כאשר מדובר על פניו, באפשרות כי העוסק גרם לנזק רב, חמור וקשה או שעקרונות הצדק הטבעי אינם מאפשרים את אישור הפשרה בסכומים אלה ועל העוסק לפצות את הפונה ואת הציבור בסכומים שונים, גדולים או קטנים יותר. כן, בית המשפט יהא מוסמך לקבוע </w:t>
            </w:r>
            <w:r w:rsidR="008E7FB8" w:rsidRPr="000C37D3">
              <w:rPr>
                <w:noProof/>
                <w:sz w:val="24"/>
                <w:szCs w:val="24"/>
                <w:rtl/>
                <w:lang w:eastAsia="en-US"/>
              </w:rPr>
              <w:t>הוראות ו</w:t>
            </w:r>
            <w:r w:rsidR="008E7FB8">
              <w:rPr>
                <w:rFonts w:hint="cs"/>
                <w:noProof/>
                <w:sz w:val="24"/>
                <w:szCs w:val="24"/>
                <w:rtl/>
                <w:lang w:eastAsia="en-US"/>
              </w:rPr>
              <w:t>ל</w:t>
            </w:r>
            <w:r w:rsidR="008E7FB8" w:rsidRPr="000C37D3">
              <w:rPr>
                <w:noProof/>
                <w:sz w:val="24"/>
                <w:szCs w:val="24"/>
                <w:rtl/>
                <w:lang w:eastAsia="en-US"/>
              </w:rPr>
              <w:t xml:space="preserve">פקח על ביצוע התחייבות הנתבע, </w:t>
            </w:r>
            <w:r w:rsidR="008E7FB8">
              <w:rPr>
                <w:rFonts w:hint="cs"/>
                <w:noProof/>
                <w:sz w:val="24"/>
                <w:szCs w:val="24"/>
                <w:rtl/>
                <w:lang w:eastAsia="en-US"/>
              </w:rPr>
              <w:t xml:space="preserve">לרבות </w:t>
            </w:r>
            <w:r w:rsidR="008E7FB8" w:rsidRPr="000C37D3">
              <w:rPr>
                <w:noProof/>
                <w:sz w:val="24"/>
                <w:szCs w:val="24"/>
                <w:rtl/>
                <w:lang w:eastAsia="en-US"/>
              </w:rPr>
              <w:t xml:space="preserve">לדרוש מהנתבע מידע או נתונים, וכן יוכל למנות מפקח כדי לאכוף ולפקח על ביצוע התחייבות הנתבע </w:t>
            </w:r>
            <w:r w:rsidR="008E7FB8">
              <w:rPr>
                <w:rFonts w:hint="cs"/>
                <w:noProof/>
                <w:sz w:val="24"/>
                <w:szCs w:val="24"/>
                <w:rtl/>
                <w:lang w:eastAsia="en-US"/>
              </w:rPr>
              <w:t>ו</w:t>
            </w:r>
            <w:r w:rsidR="008E7FB8" w:rsidRPr="000C37D3">
              <w:rPr>
                <w:noProof/>
                <w:sz w:val="24"/>
                <w:szCs w:val="24"/>
                <w:rtl/>
                <w:lang w:eastAsia="en-US"/>
              </w:rPr>
              <w:t>כלפי הקבוצה</w:t>
            </w:r>
            <w:r w:rsidR="008E7FB8">
              <w:rPr>
                <w:rFonts w:hint="cs"/>
                <w:noProof/>
                <w:sz w:val="24"/>
                <w:szCs w:val="24"/>
                <w:rtl/>
                <w:lang w:eastAsia="en-US"/>
              </w:rPr>
              <w:t>.</w:t>
            </w:r>
          </w:p>
          <w:p w14:paraId="09E92999" w14:textId="77777777" w:rsidR="008E7FB8" w:rsidRDefault="008E7FB8" w:rsidP="00A73AA5">
            <w:pPr>
              <w:spacing w:line="360" w:lineRule="auto"/>
              <w:jc w:val="both"/>
              <w:rPr>
                <w:noProof/>
                <w:sz w:val="24"/>
                <w:szCs w:val="24"/>
                <w:rtl/>
                <w:lang w:eastAsia="en-US"/>
              </w:rPr>
            </w:pPr>
          </w:p>
          <w:p w14:paraId="50ED7A85" w14:textId="77777777" w:rsidR="00A136B9" w:rsidRPr="000C37D3" w:rsidRDefault="008E7FB8" w:rsidP="00A37117">
            <w:pPr>
              <w:spacing w:line="360" w:lineRule="auto"/>
              <w:jc w:val="both"/>
              <w:rPr>
                <w:noProof/>
                <w:sz w:val="24"/>
                <w:szCs w:val="24"/>
                <w:rtl/>
                <w:lang w:eastAsia="en-US"/>
              </w:rPr>
            </w:pPr>
            <w:r>
              <w:rPr>
                <w:rFonts w:hint="cs"/>
                <w:noProof/>
                <w:sz w:val="24"/>
                <w:szCs w:val="24"/>
                <w:rtl/>
                <w:lang w:eastAsia="en-US"/>
              </w:rPr>
              <w:t>(</w:t>
            </w:r>
            <w:r w:rsidR="00A37117">
              <w:rPr>
                <w:rFonts w:hint="cs"/>
                <w:noProof/>
                <w:sz w:val="24"/>
                <w:szCs w:val="24"/>
                <w:rtl/>
                <w:lang w:eastAsia="en-US"/>
              </w:rPr>
              <w:t>4</w:t>
            </w:r>
            <w:r>
              <w:rPr>
                <w:rFonts w:hint="cs"/>
                <w:noProof/>
                <w:sz w:val="24"/>
                <w:szCs w:val="24"/>
                <w:rtl/>
                <w:lang w:eastAsia="en-US"/>
              </w:rPr>
              <w:t xml:space="preserve">) </w:t>
            </w:r>
            <w:r w:rsidR="00A136B9" w:rsidRPr="000C37D3">
              <w:rPr>
                <w:noProof/>
                <w:sz w:val="24"/>
                <w:szCs w:val="24"/>
                <w:rtl/>
                <w:lang w:eastAsia="en-US"/>
              </w:rPr>
              <w:t>לא שילם המשיב את הגמול, רשאי הפונה או עורך דינו לפנות לבית המשפט בבקשה להורות למשיב לשלמו; בקשה זו תהא פטורה מאגרה.</w:t>
            </w:r>
          </w:p>
        </w:tc>
      </w:tr>
      <w:tr w:rsidR="00A136B9" w:rsidRPr="000C37D3" w14:paraId="4C5DB0C9" w14:textId="77777777" w:rsidTr="00A73AA5">
        <w:trPr>
          <w:cantSplit/>
        </w:trPr>
        <w:tc>
          <w:tcPr>
            <w:tcW w:w="1869" w:type="dxa"/>
          </w:tcPr>
          <w:p w14:paraId="36212E7D" w14:textId="77777777" w:rsidR="00A136B9" w:rsidRPr="000C37D3" w:rsidRDefault="00A136B9" w:rsidP="00A73AA5">
            <w:pPr>
              <w:spacing w:line="360" w:lineRule="auto"/>
              <w:jc w:val="both"/>
              <w:rPr>
                <w:noProof/>
                <w:sz w:val="24"/>
                <w:szCs w:val="24"/>
                <w:lang w:eastAsia="en-US"/>
              </w:rPr>
            </w:pPr>
          </w:p>
        </w:tc>
        <w:tc>
          <w:tcPr>
            <w:tcW w:w="624" w:type="dxa"/>
          </w:tcPr>
          <w:p w14:paraId="320152AB" w14:textId="77777777" w:rsidR="00A136B9" w:rsidRPr="000C37D3" w:rsidRDefault="00A136B9" w:rsidP="00A73AA5">
            <w:pPr>
              <w:spacing w:line="360" w:lineRule="auto"/>
              <w:jc w:val="both"/>
              <w:rPr>
                <w:noProof/>
                <w:sz w:val="24"/>
                <w:szCs w:val="24"/>
                <w:lang w:eastAsia="en-US"/>
              </w:rPr>
            </w:pPr>
          </w:p>
        </w:tc>
        <w:tc>
          <w:tcPr>
            <w:tcW w:w="624" w:type="dxa"/>
          </w:tcPr>
          <w:p w14:paraId="77CD3B1E" w14:textId="77777777" w:rsidR="00A136B9" w:rsidRPr="000C37D3" w:rsidRDefault="00A136B9" w:rsidP="00A73AA5">
            <w:pPr>
              <w:spacing w:line="360" w:lineRule="auto"/>
              <w:jc w:val="both"/>
              <w:rPr>
                <w:noProof/>
                <w:sz w:val="24"/>
                <w:szCs w:val="24"/>
                <w:lang w:eastAsia="en-US"/>
              </w:rPr>
            </w:pPr>
          </w:p>
        </w:tc>
        <w:tc>
          <w:tcPr>
            <w:tcW w:w="624" w:type="dxa"/>
          </w:tcPr>
          <w:p w14:paraId="1761D54D" w14:textId="77777777" w:rsidR="00A136B9" w:rsidRPr="000C37D3" w:rsidRDefault="00A136B9" w:rsidP="00A73AA5">
            <w:pPr>
              <w:spacing w:line="360" w:lineRule="auto"/>
              <w:jc w:val="both"/>
              <w:rPr>
                <w:noProof/>
                <w:sz w:val="24"/>
                <w:szCs w:val="24"/>
                <w:lang w:eastAsia="en-US"/>
              </w:rPr>
            </w:pPr>
          </w:p>
        </w:tc>
        <w:tc>
          <w:tcPr>
            <w:tcW w:w="624" w:type="dxa"/>
          </w:tcPr>
          <w:p w14:paraId="1F40B7ED" w14:textId="77777777" w:rsidR="00A136B9" w:rsidRPr="000C37D3" w:rsidRDefault="00A136B9" w:rsidP="00A73AA5">
            <w:pPr>
              <w:spacing w:line="360" w:lineRule="auto"/>
              <w:jc w:val="both"/>
              <w:rPr>
                <w:noProof/>
                <w:sz w:val="24"/>
                <w:szCs w:val="24"/>
                <w:lang w:eastAsia="en-US"/>
              </w:rPr>
            </w:pPr>
          </w:p>
        </w:tc>
        <w:tc>
          <w:tcPr>
            <w:tcW w:w="624" w:type="dxa"/>
          </w:tcPr>
          <w:p w14:paraId="10DCC77B" w14:textId="77777777" w:rsidR="00A136B9" w:rsidRPr="000C37D3" w:rsidRDefault="00A136B9" w:rsidP="00A73AA5">
            <w:pPr>
              <w:spacing w:line="360" w:lineRule="auto"/>
              <w:jc w:val="both"/>
              <w:rPr>
                <w:noProof/>
                <w:sz w:val="24"/>
                <w:szCs w:val="24"/>
                <w:lang w:eastAsia="en-US"/>
              </w:rPr>
            </w:pPr>
          </w:p>
        </w:tc>
        <w:tc>
          <w:tcPr>
            <w:tcW w:w="4649" w:type="dxa"/>
            <w:gridSpan w:val="2"/>
          </w:tcPr>
          <w:p w14:paraId="00DD7EFF"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(ז)</w:t>
            </w:r>
            <w:r w:rsidRPr="000C37D3">
              <w:rPr>
                <w:noProof/>
                <w:sz w:val="24"/>
                <w:szCs w:val="24"/>
                <w:rtl/>
                <w:lang w:eastAsia="en-US"/>
              </w:rPr>
              <w:tab/>
              <w:t>על אף האמור בסעיף 4, לא יראו בפונה כמי שאין לו עילה בתביעה או בעניין כאמור בסעיף 3(א) בשל כל פעולה שפעל המשיב כלפיו לאחר הגשת הפניה המוקדמת.</w:t>
            </w:r>
          </w:p>
        </w:tc>
      </w:tr>
      <w:tr w:rsidR="00A136B9" w:rsidRPr="000C37D3" w14:paraId="2951CA59" w14:textId="77777777" w:rsidTr="00A73AA5">
        <w:trPr>
          <w:cantSplit/>
        </w:trPr>
        <w:tc>
          <w:tcPr>
            <w:tcW w:w="1869" w:type="dxa"/>
          </w:tcPr>
          <w:p w14:paraId="4153F90B" w14:textId="77777777" w:rsidR="00A136B9" w:rsidRPr="000C37D3" w:rsidRDefault="00A136B9" w:rsidP="00A73AA5">
            <w:pPr>
              <w:spacing w:line="360" w:lineRule="auto"/>
              <w:jc w:val="both"/>
              <w:rPr>
                <w:noProof/>
                <w:sz w:val="24"/>
                <w:szCs w:val="24"/>
                <w:lang w:eastAsia="en-US"/>
              </w:rPr>
            </w:pPr>
          </w:p>
        </w:tc>
        <w:tc>
          <w:tcPr>
            <w:tcW w:w="624" w:type="dxa"/>
          </w:tcPr>
          <w:p w14:paraId="4D86011F" w14:textId="77777777" w:rsidR="00A136B9" w:rsidRPr="000C37D3" w:rsidRDefault="00A136B9" w:rsidP="00A73AA5">
            <w:pPr>
              <w:spacing w:line="360" w:lineRule="auto"/>
              <w:jc w:val="both"/>
              <w:rPr>
                <w:noProof/>
                <w:sz w:val="24"/>
                <w:szCs w:val="24"/>
                <w:lang w:eastAsia="en-US"/>
              </w:rPr>
            </w:pPr>
          </w:p>
        </w:tc>
        <w:tc>
          <w:tcPr>
            <w:tcW w:w="624" w:type="dxa"/>
          </w:tcPr>
          <w:p w14:paraId="28E5F235" w14:textId="77777777" w:rsidR="00A136B9" w:rsidRPr="000C37D3" w:rsidRDefault="00A136B9" w:rsidP="00A73AA5">
            <w:pPr>
              <w:spacing w:line="360" w:lineRule="auto"/>
              <w:jc w:val="both"/>
              <w:rPr>
                <w:noProof/>
                <w:sz w:val="24"/>
                <w:szCs w:val="24"/>
                <w:lang w:eastAsia="en-US"/>
              </w:rPr>
            </w:pPr>
          </w:p>
        </w:tc>
        <w:tc>
          <w:tcPr>
            <w:tcW w:w="624" w:type="dxa"/>
          </w:tcPr>
          <w:p w14:paraId="18899CF8" w14:textId="77777777" w:rsidR="00A136B9" w:rsidRPr="000C37D3" w:rsidRDefault="00A136B9" w:rsidP="00A73AA5">
            <w:pPr>
              <w:spacing w:line="360" w:lineRule="auto"/>
              <w:jc w:val="both"/>
              <w:rPr>
                <w:noProof/>
                <w:sz w:val="24"/>
                <w:szCs w:val="24"/>
                <w:lang w:eastAsia="en-US"/>
              </w:rPr>
            </w:pPr>
          </w:p>
        </w:tc>
        <w:tc>
          <w:tcPr>
            <w:tcW w:w="624" w:type="dxa"/>
          </w:tcPr>
          <w:p w14:paraId="72579508" w14:textId="77777777" w:rsidR="00A136B9" w:rsidRPr="000C37D3" w:rsidRDefault="00A136B9" w:rsidP="00A73AA5">
            <w:pPr>
              <w:spacing w:line="360" w:lineRule="auto"/>
              <w:jc w:val="both"/>
              <w:rPr>
                <w:noProof/>
                <w:sz w:val="24"/>
                <w:szCs w:val="24"/>
                <w:lang w:eastAsia="en-US"/>
              </w:rPr>
            </w:pPr>
          </w:p>
        </w:tc>
        <w:tc>
          <w:tcPr>
            <w:tcW w:w="624" w:type="dxa"/>
          </w:tcPr>
          <w:p w14:paraId="24FD43ED" w14:textId="77777777" w:rsidR="00A136B9" w:rsidRPr="000C37D3" w:rsidRDefault="00A136B9" w:rsidP="00A73AA5">
            <w:pPr>
              <w:spacing w:line="360" w:lineRule="auto"/>
              <w:jc w:val="both"/>
              <w:rPr>
                <w:noProof/>
                <w:sz w:val="24"/>
                <w:szCs w:val="24"/>
                <w:lang w:eastAsia="en-US"/>
              </w:rPr>
            </w:pPr>
          </w:p>
        </w:tc>
        <w:tc>
          <w:tcPr>
            <w:tcW w:w="4649" w:type="dxa"/>
            <w:gridSpan w:val="2"/>
          </w:tcPr>
          <w:p w14:paraId="2323A3DB"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(ח)</w:t>
            </w:r>
            <w:r w:rsidRPr="000C37D3">
              <w:rPr>
                <w:noProof/>
                <w:sz w:val="24"/>
                <w:szCs w:val="24"/>
                <w:rtl/>
                <w:lang w:eastAsia="en-US"/>
              </w:rPr>
              <w:tab/>
              <w:t>לעניין סעיף 7, ייחשב יום מסירת הפניה המוקדמת כיום הגשת הבקשה לאישור, ובלבד שהבקשה לאישור הוגשה בתוך 6 חודשים מיום מסירת הפניה המוקדמת.</w:t>
            </w:r>
          </w:p>
        </w:tc>
      </w:tr>
      <w:tr w:rsidR="00A136B9" w:rsidRPr="000C37D3" w14:paraId="048A1179" w14:textId="77777777" w:rsidTr="00A73AA5">
        <w:trPr>
          <w:cantSplit/>
        </w:trPr>
        <w:tc>
          <w:tcPr>
            <w:tcW w:w="1869" w:type="dxa"/>
          </w:tcPr>
          <w:p w14:paraId="41CC7E3E" w14:textId="77777777" w:rsidR="00A136B9" w:rsidRPr="000C37D3" w:rsidRDefault="00A136B9" w:rsidP="00A73AA5">
            <w:pPr>
              <w:spacing w:line="360" w:lineRule="auto"/>
              <w:jc w:val="both"/>
              <w:rPr>
                <w:noProof/>
                <w:sz w:val="24"/>
                <w:szCs w:val="24"/>
                <w:lang w:eastAsia="en-US"/>
              </w:rPr>
            </w:pPr>
          </w:p>
        </w:tc>
        <w:tc>
          <w:tcPr>
            <w:tcW w:w="624" w:type="dxa"/>
          </w:tcPr>
          <w:p w14:paraId="5D13D60E" w14:textId="77777777" w:rsidR="00A136B9" w:rsidRPr="000C37D3" w:rsidRDefault="00A136B9" w:rsidP="00A73AA5">
            <w:pPr>
              <w:spacing w:line="360" w:lineRule="auto"/>
              <w:jc w:val="both"/>
              <w:rPr>
                <w:noProof/>
                <w:sz w:val="24"/>
                <w:szCs w:val="24"/>
                <w:lang w:eastAsia="en-US"/>
              </w:rPr>
            </w:pPr>
          </w:p>
        </w:tc>
        <w:tc>
          <w:tcPr>
            <w:tcW w:w="624" w:type="dxa"/>
          </w:tcPr>
          <w:p w14:paraId="5D07C681" w14:textId="77777777" w:rsidR="00A136B9" w:rsidRPr="000C37D3" w:rsidRDefault="00A136B9" w:rsidP="00A73AA5">
            <w:pPr>
              <w:spacing w:line="360" w:lineRule="auto"/>
              <w:jc w:val="both"/>
              <w:rPr>
                <w:noProof/>
                <w:sz w:val="24"/>
                <w:szCs w:val="24"/>
                <w:lang w:eastAsia="en-US"/>
              </w:rPr>
            </w:pPr>
          </w:p>
        </w:tc>
        <w:tc>
          <w:tcPr>
            <w:tcW w:w="624" w:type="dxa"/>
          </w:tcPr>
          <w:p w14:paraId="0E572087" w14:textId="77777777" w:rsidR="00A136B9" w:rsidRPr="000C37D3" w:rsidRDefault="00A136B9" w:rsidP="00A73AA5">
            <w:pPr>
              <w:spacing w:line="360" w:lineRule="auto"/>
              <w:jc w:val="both"/>
              <w:rPr>
                <w:noProof/>
                <w:sz w:val="24"/>
                <w:szCs w:val="24"/>
                <w:lang w:eastAsia="en-US"/>
              </w:rPr>
            </w:pPr>
          </w:p>
        </w:tc>
        <w:tc>
          <w:tcPr>
            <w:tcW w:w="624" w:type="dxa"/>
          </w:tcPr>
          <w:p w14:paraId="3F879078" w14:textId="77777777" w:rsidR="00A136B9" w:rsidRPr="000C37D3" w:rsidRDefault="00A136B9" w:rsidP="00A73AA5">
            <w:pPr>
              <w:spacing w:line="360" w:lineRule="auto"/>
              <w:jc w:val="both"/>
              <w:rPr>
                <w:noProof/>
                <w:sz w:val="24"/>
                <w:szCs w:val="24"/>
                <w:lang w:eastAsia="en-US"/>
              </w:rPr>
            </w:pPr>
          </w:p>
        </w:tc>
        <w:tc>
          <w:tcPr>
            <w:tcW w:w="624" w:type="dxa"/>
          </w:tcPr>
          <w:p w14:paraId="4EBE12A0" w14:textId="77777777" w:rsidR="00A136B9" w:rsidRPr="000C37D3" w:rsidRDefault="00A136B9" w:rsidP="00A73AA5">
            <w:pPr>
              <w:spacing w:line="360" w:lineRule="auto"/>
              <w:jc w:val="both"/>
              <w:rPr>
                <w:noProof/>
                <w:sz w:val="24"/>
                <w:szCs w:val="24"/>
                <w:lang w:eastAsia="en-US"/>
              </w:rPr>
            </w:pPr>
          </w:p>
        </w:tc>
        <w:tc>
          <w:tcPr>
            <w:tcW w:w="4649" w:type="dxa"/>
            <w:gridSpan w:val="2"/>
          </w:tcPr>
          <w:p w14:paraId="6CDD6574" w14:textId="77777777" w:rsidR="00A136B9" w:rsidRPr="000C37D3" w:rsidRDefault="00A136B9" w:rsidP="00A73AA5">
            <w:pPr>
              <w:spacing w:line="360" w:lineRule="auto"/>
              <w:jc w:val="both"/>
              <w:rPr>
                <w:noProof/>
                <w:sz w:val="24"/>
                <w:szCs w:val="24"/>
                <w:lang w:eastAsia="en-US"/>
              </w:rPr>
            </w:pPr>
            <w:r w:rsidRPr="000C37D3">
              <w:rPr>
                <w:noProof/>
                <w:sz w:val="24"/>
                <w:szCs w:val="24"/>
                <w:rtl/>
                <w:lang w:eastAsia="en-US"/>
              </w:rPr>
              <w:t>(ט)</w:t>
            </w:r>
            <w:r w:rsidRPr="000C37D3">
              <w:rPr>
                <w:noProof/>
                <w:sz w:val="24"/>
                <w:szCs w:val="24"/>
                <w:rtl/>
                <w:lang w:eastAsia="en-US"/>
              </w:rPr>
              <w:tab/>
              <w:t>על אף האמור בחוק ההתיישנות התשי"ח–1958</w:t>
            </w:r>
            <w:r w:rsidRPr="00973F7A">
              <w:rPr>
                <w:noProof/>
                <w:sz w:val="24"/>
                <w:szCs w:val="24"/>
                <w:vertAlign w:val="superscript"/>
                <w:rtl/>
                <w:lang w:eastAsia="en-US"/>
              </w:rPr>
              <w:footnoteReference w:id="3"/>
            </w:r>
            <w:r w:rsidRPr="00973F7A">
              <w:rPr>
                <w:noProof/>
                <w:sz w:val="24"/>
                <w:szCs w:val="24"/>
                <w:rtl/>
                <w:lang w:eastAsia="en-US"/>
              </w:rPr>
              <w:t xml:space="preserve">, </w:t>
            </w:r>
            <w:r w:rsidRPr="000C37D3">
              <w:rPr>
                <w:noProof/>
                <w:sz w:val="24"/>
                <w:szCs w:val="24"/>
                <w:rtl/>
                <w:lang w:eastAsia="en-US"/>
              </w:rPr>
              <w:t>בחישוב תקופת ההתיישנות לא יבוא במניין הזמן שחלף מיום הפניה המוקדמת ועד ליום הגשת התובענה הייצוגית לאישור, ובלבד שהתובענה הוגשה בתוך 6 חודשים מיום הפניה המוקדמת."</w:t>
            </w:r>
          </w:p>
        </w:tc>
      </w:tr>
    </w:tbl>
    <w:p w14:paraId="3FCD0C06" w14:textId="77777777" w:rsidR="00A136B9" w:rsidRPr="000C37D3" w:rsidRDefault="00A136B9" w:rsidP="00A136B9">
      <w:pPr>
        <w:spacing w:line="360" w:lineRule="auto"/>
        <w:jc w:val="center"/>
        <w:rPr>
          <w:noProof/>
          <w:sz w:val="24"/>
          <w:szCs w:val="24"/>
          <w:rtl/>
          <w:lang w:eastAsia="en-US"/>
        </w:rPr>
      </w:pPr>
      <w:r w:rsidRPr="000C37D3">
        <w:rPr>
          <w:noProof/>
          <w:sz w:val="24"/>
          <w:szCs w:val="24"/>
          <w:rtl/>
          <w:lang w:eastAsia="en-US"/>
        </w:rPr>
        <w:t>דברי הסבר</w:t>
      </w:r>
    </w:p>
    <w:p w14:paraId="38531D71" w14:textId="77777777" w:rsidR="00A136B9" w:rsidRPr="000C37D3" w:rsidRDefault="00A136B9" w:rsidP="009B09E6">
      <w:pPr>
        <w:spacing w:line="360" w:lineRule="auto"/>
        <w:jc w:val="both"/>
        <w:rPr>
          <w:noProof/>
          <w:sz w:val="24"/>
          <w:szCs w:val="24"/>
          <w:rtl/>
          <w:lang w:eastAsia="en-US"/>
        </w:rPr>
      </w:pPr>
      <w:r w:rsidRPr="000C37D3">
        <w:rPr>
          <w:noProof/>
          <w:sz w:val="24"/>
          <w:szCs w:val="24"/>
          <w:rtl/>
          <w:lang w:eastAsia="en-US"/>
        </w:rPr>
        <w:t>חוק תובענות ייצוגיות, שחוקק לפני</w:t>
      </w:r>
      <w:r w:rsidR="009B09E6">
        <w:rPr>
          <w:rFonts w:hint="cs"/>
          <w:noProof/>
          <w:sz w:val="24"/>
          <w:szCs w:val="24"/>
          <w:rtl/>
          <w:lang w:eastAsia="en-US"/>
        </w:rPr>
        <w:t xml:space="preserve"> למעלה מ</w:t>
      </w:r>
      <w:r w:rsidRPr="000C37D3">
        <w:rPr>
          <w:noProof/>
          <w:sz w:val="24"/>
          <w:szCs w:val="24"/>
          <w:rtl/>
          <w:lang w:eastAsia="en-US"/>
        </w:rPr>
        <w:t>עשור, התברר כיעיל ביותר בתחום הגנת הצרכן. בעקבות תביעות שהוגשו נגד קבוצות חברות וחברות גדולות, הוחזרו לציבור הרחב סכומים שמסתכמים במיליארדי שקלים חדשים. בנוסף, החוק והתביעות שהוגשו בעקבותיו יצרו הרתעה מפני ניצול והטעיית צרכנים.</w:t>
      </w:r>
    </w:p>
    <w:p w14:paraId="679D5B07"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lastRenderedPageBreak/>
        <w:t>בין מטרות החוק כפי שהוגדרו בחוק הן אכיפת הדין, הרתעה מפני הפרת החוק, מתן סעד הולם לנפגעים מהפרת הדין וניהול יעיל, הוגן וממצה של התביעות.</w:t>
      </w:r>
    </w:p>
    <w:p w14:paraId="1ABA19BA"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במקרים רבים נוצל החוק לרעה על ידי עורכי דין ותובעים סדרתיים אשר חיפשו עילות תביעה, במטרה להתעשר משכר הטרחה ומהגמול שנפסק לתובעים, כאשר בחלקן מדובר בתביעות סרק, אך למרות זאת הנתבעים מוכנים להתפשר ולהגיע כביכול לפשרה עם התובעים כדי לחסוך התדיינויות ארוכות, וזאת ללא השגת כל תועלת ממשית לטובת הציבור.</w:t>
      </w:r>
    </w:p>
    <w:p w14:paraId="7079A38C"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בתקופה האחרונה אנו עדים למבול תביעות שעניינם סימון מוצרים או פרסום שלא בהתאם לחוק או לתקן.</w:t>
      </w:r>
    </w:p>
    <w:p w14:paraId="05842DCB"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בניגוד לעבר, תביעות אלו אינן מוגשות נגד תאגידים גדולים אלא נגד עסקים קטנים שבחלקם מדובר בעסק משפחתי שהעוסק היחיד בו הוא בעל העסק או בני משפחתו. חנויות ועסקים אלו, שאין להם מחלקה משפטית, אינם מודעים לכל תיקון חדש בחוק הגנת הצרכן או בהוראות תקנים חדשים.</w:t>
      </w:r>
    </w:p>
    <w:p w14:paraId="3ADD8902"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כך לדוגמה הוגשו לאחרונה תביעות עתק על סך מיליוני שקלים נגד קונדיטוריות שלא סימנו על גבי מוצרים את כמות שומן הטראנס. ברוב המקרים המוצרים כלל לא הכילו שומן, אך על פי התקן יש לציין על האריזה כי המוצר מכיל פחות מ0.5% שומן טראנס. דוגמה נוספת היא תביעה נגד חנויות פיצוחים על כך שלא הדפיסו על האריזות אזהרה מפני חנק בשפה הערבית.</w:t>
      </w:r>
    </w:p>
    <w:p w14:paraId="5FDDD769"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מניתוח תביעות דומות לאלו עולה תמונה מטרידה כי ככל הנראה לא מדובר אזרחים תמימים שנפגעו אלא בתובעים סדרתיים המסתייעים ומוכוונים על ידי עורכי דין. אלה האחרונים סרקו את כל התקנים ובכוונה תחילה פונים לרכוש מוצרים בחנויות שונות (אחרי בדיקה שהם אינם עומדים בהוראות הדין), רק כדי להגיש תביעות ייצוגיות ולגרוף בסופו של יום גמול והוצאות.</w:t>
      </w:r>
    </w:p>
    <w:p w14:paraId="5C9DAE23"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גם מתחקיר שפורסם ביום 16.5.2016 בחדשות ערוץ 2 עולה כי הגשת תובענות ייצוגיות על ידי תובעים סדרתיים נגד עסקים קטנים בטענות שונות ומשונות הפכה למכת מדינה המאיימת על קיומם של העסקים הקטנים. מהתחקיר עולה כי בעוד שבכתבי התביעה מתבקשים סכומים בשיעור של עשרות מיליוני שקלים, בסופו של דבר "מתפשרים" הצדדים על סכומים של עשרות אלפי שקלים.</w:t>
      </w:r>
    </w:p>
    <w:p w14:paraId="282E4A23"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תביעות אלו, שהוגשו על סך של מיליוני שקלים, גרמו לעסקים הקטנים לשכור עורכי דין בעלות של עשרות ומאות אלפי שקלים מחשש לקבלת התביעות, שעמדו כאמור על סכומים אסטרונומיים.</w:t>
      </w:r>
    </w:p>
    <w:p w14:paraId="12DED6E4"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כמעט בכל המקרים הגיעו עורכי הדין של התובעים והנתבעים להסדר פשרה, לפיו הנתבעים יפעלו מכאן ואילך לפי החוק, התביעה תימחק והתובע הייצוגי ועורכי דינו יקבלו גמול ושכ"ט העומד בדרך כלל על עשרות אלפי שקלים.</w:t>
      </w:r>
    </w:p>
    <w:p w14:paraId="09E6A8D2"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כבר לפני עשור, בדברי ההסבר להצעת חוק התובענות הייצוגיות, עלה החשש מפני ניצול מכשיר התובענה הייצוגית לעשיית רווח ללא השגת תועלת לציבור, חשש שהתאמת במקרים מסוימים.</w:t>
      </w:r>
    </w:p>
    <w:p w14:paraId="70E73868"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בסיכומו של דבר, לעסקים הקטנים נגרמים נזקים והוצאות בסך עשרות ומאות אלפי שקלים, בתשלום הוצאות לעורך הדין שלהם, לעורך הדין של התובע וגמול לתובע. כל זאת כאשר לא מדובר בניסיון הונאה, הטעיה או כוונה רעה, אלא בחוסר ידע של בעל העסק, כאשר מדובר בדרך כלל בעסק או חנות קטנה שאין להם יועץ משפטי אשר ידריך אותם בנבכי התקנים.</w:t>
      </w:r>
    </w:p>
    <w:p w14:paraId="716BEFDB"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בעקבות הוצאות שנגרמו לעסקים בעקבות תביעות אלו הגיעו עסקים רבים עד כדי סגירת העסק, ועסקים אחרים נאלצו להעלות מחירים לצרכן כדי לממן את ההוצאות המשפטיות. בסופו של דבר, הציבור הרחב הוא שמשלם את החשבון.</w:t>
      </w:r>
    </w:p>
    <w:p w14:paraId="54DD8AFC" w14:textId="77777777" w:rsidR="009B09E6" w:rsidRDefault="00A136B9" w:rsidP="00A136B9">
      <w:pPr>
        <w:spacing w:line="360" w:lineRule="auto"/>
        <w:jc w:val="both"/>
        <w:rPr>
          <w:noProof/>
          <w:sz w:val="24"/>
          <w:szCs w:val="24"/>
          <w:rtl/>
          <w:lang w:eastAsia="en-US"/>
        </w:rPr>
      </w:pPr>
      <w:r w:rsidRPr="000C37D3">
        <w:rPr>
          <w:noProof/>
          <w:sz w:val="24"/>
          <w:szCs w:val="24"/>
          <w:rtl/>
          <w:lang w:eastAsia="en-US"/>
        </w:rPr>
        <w:lastRenderedPageBreak/>
        <w:t xml:space="preserve">בעיית תביעות הסרק וניסיונות הסחיטה בעקבותיהם, עלתה במסגרת </w:t>
      </w:r>
      <w:r w:rsidR="009B09E6">
        <w:rPr>
          <w:rFonts w:hint="cs"/>
          <w:noProof/>
          <w:sz w:val="24"/>
          <w:szCs w:val="24"/>
          <w:rtl/>
          <w:lang w:eastAsia="en-US"/>
        </w:rPr>
        <w:t>שורה של מחקרים.</w:t>
      </w:r>
    </w:p>
    <w:p w14:paraId="5229CB13" w14:textId="77777777" w:rsidR="009B09E6" w:rsidRDefault="009B09E6" w:rsidP="00A136B9">
      <w:pPr>
        <w:spacing w:line="360" w:lineRule="auto"/>
        <w:jc w:val="both"/>
        <w:rPr>
          <w:noProof/>
          <w:sz w:val="24"/>
          <w:szCs w:val="24"/>
          <w:rtl/>
          <w:lang w:eastAsia="en-US"/>
        </w:rPr>
      </w:pPr>
      <w:r>
        <w:rPr>
          <w:rFonts w:hint="cs"/>
          <w:noProof/>
          <w:sz w:val="24"/>
          <w:szCs w:val="24"/>
          <w:rtl/>
          <w:lang w:eastAsia="en-US"/>
        </w:rPr>
        <w:t>האחרונים שבהם, הם סקירה כמותית של הרשות השופטת</w:t>
      </w:r>
      <w:r>
        <w:rPr>
          <w:rStyle w:val="FootnoteReference"/>
          <w:noProof/>
          <w:sz w:val="24"/>
          <w:szCs w:val="24"/>
          <w:rtl/>
          <w:lang w:eastAsia="en-US"/>
        </w:rPr>
        <w:footnoteReference w:id="4"/>
      </w:r>
    </w:p>
    <w:p w14:paraId="28607677" w14:textId="77777777" w:rsidR="0069614D" w:rsidRDefault="00A136B9" w:rsidP="000841B2">
      <w:pPr>
        <w:spacing w:line="360" w:lineRule="auto"/>
        <w:jc w:val="both"/>
        <w:rPr>
          <w:rFonts w:ascii="David" w:hAnsi="David"/>
          <w:sz w:val="24"/>
          <w:szCs w:val="24"/>
          <w:rtl/>
        </w:rPr>
      </w:pPr>
      <w:r w:rsidRPr="000C37D3">
        <w:rPr>
          <w:noProof/>
          <w:sz w:val="24"/>
          <w:szCs w:val="24"/>
          <w:rtl/>
          <w:lang w:eastAsia="en-US"/>
        </w:rPr>
        <w:t>מחקר "תובעות ייצוגיות בישראל – פרספקטיבה אמפירית" שנערך ע"י מחלקת המחקר של הרשות השופטת</w:t>
      </w:r>
      <w:r w:rsidR="0069614D">
        <w:rPr>
          <w:rFonts w:hint="cs"/>
          <w:noProof/>
          <w:sz w:val="24"/>
          <w:szCs w:val="24"/>
          <w:rtl/>
          <w:lang w:eastAsia="en-US"/>
        </w:rPr>
        <w:t xml:space="preserve"> </w:t>
      </w:r>
      <w:r w:rsidR="0069614D">
        <w:rPr>
          <w:rFonts w:ascii="David" w:hAnsi="David"/>
          <w:sz w:val="24"/>
          <w:szCs w:val="24"/>
          <w:rtl/>
        </w:rPr>
        <w:t>לשנים 2019-2018 –</w:t>
      </w:r>
      <w:r w:rsidR="0069614D">
        <w:rPr>
          <w:rFonts w:ascii="David" w:hAnsi="David" w:hint="cs"/>
          <w:sz w:val="24"/>
          <w:szCs w:val="24"/>
          <w:rtl/>
        </w:rPr>
        <w:t xml:space="preserve"> ממנו עולה כי </w:t>
      </w:r>
      <w:r w:rsidR="0069614D" w:rsidRPr="007D6899">
        <w:rPr>
          <w:rFonts w:ascii="David" w:hAnsi="David"/>
          <w:sz w:val="24"/>
          <w:szCs w:val="24"/>
          <w:rtl/>
        </w:rPr>
        <w:t xml:space="preserve">אחוז </w:t>
      </w:r>
      <w:r w:rsidR="000841B2">
        <w:rPr>
          <w:rFonts w:ascii="David" w:hAnsi="David" w:hint="cs"/>
          <w:sz w:val="24"/>
          <w:szCs w:val="24"/>
          <w:rtl/>
        </w:rPr>
        <w:t xml:space="preserve">תביעות הסרק עמד בשנים הללו על כ-83% מסך התובענות שהוגשו, מהם, אחוז </w:t>
      </w:r>
      <w:r w:rsidR="0069614D" w:rsidRPr="007D6899">
        <w:rPr>
          <w:rFonts w:ascii="David" w:hAnsi="David"/>
          <w:sz w:val="24"/>
          <w:szCs w:val="24"/>
          <w:rtl/>
        </w:rPr>
        <w:t xml:space="preserve">התובענות הייצוגיות </w:t>
      </w:r>
      <w:r w:rsidR="000841B2">
        <w:rPr>
          <w:rFonts w:ascii="David" w:hAnsi="David" w:hint="cs"/>
          <w:sz w:val="24"/>
          <w:szCs w:val="24"/>
          <w:rtl/>
        </w:rPr>
        <w:t>ש</w:t>
      </w:r>
      <w:r w:rsidR="0069614D" w:rsidRPr="007D6899">
        <w:rPr>
          <w:rFonts w:ascii="David" w:hAnsi="David"/>
          <w:sz w:val="24"/>
          <w:szCs w:val="24"/>
          <w:rtl/>
        </w:rPr>
        <w:t xml:space="preserve">הסתיימו בהסתלקות עמד על </w:t>
      </w:r>
      <w:r w:rsidR="0069614D" w:rsidRPr="007D6899">
        <w:rPr>
          <w:rFonts w:ascii="David" w:hAnsi="David"/>
          <w:b/>
          <w:bCs/>
          <w:sz w:val="24"/>
          <w:szCs w:val="24"/>
          <w:rtl/>
        </w:rPr>
        <w:t>כ-</w:t>
      </w:r>
      <w:r w:rsidR="0069614D" w:rsidRPr="008E7FB8">
        <w:rPr>
          <w:rFonts w:ascii="David" w:hAnsi="David"/>
          <w:sz w:val="24"/>
          <w:szCs w:val="24"/>
          <w:rtl/>
        </w:rPr>
        <w:t xml:space="preserve">69%, ואחוז </w:t>
      </w:r>
      <w:r w:rsidR="0069614D" w:rsidRPr="007D6899">
        <w:rPr>
          <w:rFonts w:ascii="David" w:hAnsi="David"/>
          <w:sz w:val="24"/>
          <w:szCs w:val="24"/>
          <w:rtl/>
        </w:rPr>
        <w:t>התיקים אשר נסגרו בשל חוסר מעש, מחיקה עיכוב הליכים וסיבות נוספות שאינן פסק דין או פשרה, עמד על כ-14%</w:t>
      </w:r>
      <w:r w:rsidR="000841B2">
        <w:rPr>
          <w:rFonts w:ascii="David" w:hAnsi="David" w:hint="cs"/>
          <w:sz w:val="24"/>
          <w:szCs w:val="24"/>
          <w:rtl/>
        </w:rPr>
        <w:t xml:space="preserve"> נוספים</w:t>
      </w:r>
      <w:r w:rsidR="0069614D" w:rsidRPr="007D6899">
        <w:rPr>
          <w:rFonts w:ascii="David" w:hAnsi="David"/>
          <w:sz w:val="24"/>
          <w:szCs w:val="24"/>
          <w:rtl/>
        </w:rPr>
        <w:t>.</w:t>
      </w:r>
    </w:p>
    <w:p w14:paraId="17AD6F8D" w14:textId="77777777" w:rsidR="000841B2" w:rsidRDefault="000841B2" w:rsidP="000841B2">
      <w:pPr>
        <w:spacing w:line="360" w:lineRule="auto"/>
        <w:jc w:val="both"/>
        <w:rPr>
          <w:noProof/>
          <w:sz w:val="24"/>
          <w:szCs w:val="24"/>
          <w:rtl/>
          <w:lang w:eastAsia="en-US"/>
        </w:rPr>
      </w:pPr>
      <w:r>
        <w:rPr>
          <w:rFonts w:ascii="David" w:hAnsi="David" w:hint="cs"/>
          <w:sz w:val="24"/>
          <w:szCs w:val="24"/>
          <w:rtl/>
        </w:rPr>
        <w:t>מגמה זו איננה חדשה, שכן מחקר שנערך כבר בשנת 2014 מצא כי כ60% מהתובענות הייצוגיות שהוגשו בשנת 2012 היו תביעות סרק שנסגרו בשל הסתלקות או חוסר מעש</w:t>
      </w:r>
      <w:r>
        <w:rPr>
          <w:rStyle w:val="FootnoteReference"/>
          <w:rFonts w:ascii="David" w:hAnsi="David"/>
          <w:sz w:val="24"/>
          <w:szCs w:val="24"/>
          <w:rtl/>
        </w:rPr>
        <w:footnoteReference w:id="5"/>
      </w:r>
      <w:r>
        <w:rPr>
          <w:rFonts w:ascii="David" w:hAnsi="David" w:hint="cs"/>
          <w:sz w:val="24"/>
          <w:szCs w:val="24"/>
          <w:rtl/>
        </w:rPr>
        <w:t>.</w:t>
      </w:r>
    </w:p>
    <w:p w14:paraId="739D302A" w14:textId="77777777" w:rsidR="00A136B9" w:rsidRPr="000C37D3" w:rsidRDefault="00642369" w:rsidP="00642369">
      <w:pPr>
        <w:spacing w:line="360" w:lineRule="auto"/>
        <w:jc w:val="both"/>
        <w:rPr>
          <w:noProof/>
          <w:sz w:val="24"/>
          <w:szCs w:val="24"/>
          <w:rtl/>
          <w:lang w:eastAsia="en-US"/>
        </w:rPr>
      </w:pPr>
      <w:r>
        <w:rPr>
          <w:rFonts w:hint="cs"/>
          <w:noProof/>
          <w:sz w:val="24"/>
          <w:szCs w:val="24"/>
          <w:rtl/>
          <w:lang w:eastAsia="en-US"/>
        </w:rPr>
        <w:t>מחקר נוסף</w:t>
      </w:r>
      <w:r w:rsidR="0069614D">
        <w:rPr>
          <w:rFonts w:hint="cs"/>
          <w:noProof/>
          <w:sz w:val="24"/>
          <w:szCs w:val="24"/>
          <w:rtl/>
          <w:lang w:eastAsia="en-US"/>
        </w:rPr>
        <w:t xml:space="preserve"> </w:t>
      </w:r>
      <w:r>
        <w:rPr>
          <w:rFonts w:hint="cs"/>
          <w:noProof/>
          <w:sz w:val="24"/>
          <w:szCs w:val="24"/>
          <w:rtl/>
          <w:lang w:eastAsia="en-US"/>
        </w:rPr>
        <w:t xml:space="preserve">נערך </w:t>
      </w:r>
      <w:r w:rsidR="00A136B9" w:rsidRPr="000C37D3">
        <w:rPr>
          <w:noProof/>
          <w:sz w:val="24"/>
          <w:szCs w:val="24"/>
          <w:rtl/>
          <w:lang w:eastAsia="en-US"/>
        </w:rPr>
        <w:t>בשיתוף</w:t>
      </w:r>
      <w:r>
        <w:rPr>
          <w:rFonts w:hint="cs"/>
          <w:noProof/>
          <w:sz w:val="24"/>
          <w:szCs w:val="24"/>
          <w:rtl/>
          <w:lang w:eastAsia="en-US"/>
        </w:rPr>
        <w:t xml:space="preserve"> עם</w:t>
      </w:r>
      <w:r w:rsidR="00A136B9" w:rsidRPr="000C37D3">
        <w:rPr>
          <w:noProof/>
          <w:sz w:val="24"/>
          <w:szCs w:val="24"/>
          <w:rtl/>
          <w:lang w:eastAsia="en-US"/>
        </w:rPr>
        <w:t xml:space="preserve"> המרכז הבינתחומי הרצליה ושם נכתב: "תביעות הסרק נובעת מיכולתם של התובע המייצג ועורך הדין להעמיד את הנתבע בתובענה הייצוגית בפני סיכונים ועלויות כבדים, גם אם סיכויי התביעה נמוכים. כתוצאה מכך מסכימים נתבעים לפשרות גם בתביעות סרק, וקיים תמריץ לתובעים ולעורכי דין להגיש תביעות כאלה. שתי הבעיות הללו עלולות לגרום לפגיעה בהשגת מטרותיה של התובענה הייצוגית. בפרט, הן עלולות לגרום לכך שנתבעים לא יחויבו במלוא הנזק שגרמו, בתובענות מוצדקות, ולכך שיחויבו ביותר מהנזק שגרמו, אם בכלל, בתובענות חסרות בסיס". </w:t>
      </w:r>
    </w:p>
    <w:p w14:paraId="704DA115" w14:textId="77777777" w:rsidR="00A136B9" w:rsidRPr="000C37D3" w:rsidRDefault="00642369" w:rsidP="00A136B9">
      <w:pPr>
        <w:spacing w:line="360" w:lineRule="auto"/>
        <w:jc w:val="both"/>
        <w:rPr>
          <w:noProof/>
          <w:sz w:val="24"/>
          <w:szCs w:val="24"/>
          <w:rtl/>
          <w:lang w:eastAsia="en-US"/>
        </w:rPr>
      </w:pPr>
      <w:r>
        <w:rPr>
          <w:rFonts w:hint="cs"/>
          <w:noProof/>
          <w:sz w:val="24"/>
          <w:szCs w:val="24"/>
          <w:rtl/>
          <w:lang w:eastAsia="en-US"/>
        </w:rPr>
        <w:t xml:space="preserve">גם </w:t>
      </w:r>
      <w:r w:rsidR="00A136B9" w:rsidRPr="000C37D3">
        <w:rPr>
          <w:noProof/>
          <w:sz w:val="24"/>
          <w:szCs w:val="24"/>
          <w:rtl/>
          <w:lang w:eastAsia="en-US"/>
        </w:rPr>
        <w:t>ממחקר זה אף עלה, שרובם המוחלט של התביעות נדחות או נמחקות.</w:t>
      </w:r>
    </w:p>
    <w:p w14:paraId="6D299D22" w14:textId="77777777" w:rsidR="00A136B9" w:rsidRPr="000C37D3" w:rsidRDefault="00A136B9" w:rsidP="008E7FB8">
      <w:pPr>
        <w:spacing w:line="360" w:lineRule="auto"/>
        <w:jc w:val="both"/>
        <w:rPr>
          <w:noProof/>
          <w:sz w:val="24"/>
          <w:szCs w:val="24"/>
          <w:rtl/>
          <w:lang w:eastAsia="en-US"/>
        </w:rPr>
      </w:pPr>
      <w:r w:rsidRPr="000C37D3">
        <w:rPr>
          <w:noProof/>
          <w:sz w:val="24"/>
          <w:szCs w:val="24"/>
          <w:rtl/>
          <w:lang w:eastAsia="en-US"/>
        </w:rPr>
        <w:t>בנוסף, תביעות אלו גורמות לעומס גדול ביותר על בתי המשפט, כאשר כמות התביעות בשנים האחרונות הפכה לאסטרונומית, לפי הנתונים בשנת 2015 הוגשו כ- 1</w:t>
      </w:r>
      <w:r w:rsidR="008E7FB8">
        <w:rPr>
          <w:rFonts w:hint="cs"/>
          <w:noProof/>
          <w:sz w:val="24"/>
          <w:szCs w:val="24"/>
          <w:rtl/>
          <w:lang w:eastAsia="en-US"/>
        </w:rPr>
        <w:t>,</w:t>
      </w:r>
      <w:r w:rsidRPr="000C37D3">
        <w:rPr>
          <w:noProof/>
          <w:sz w:val="24"/>
          <w:szCs w:val="24"/>
          <w:rtl/>
          <w:lang w:eastAsia="en-US"/>
        </w:rPr>
        <w:t>400</w:t>
      </w:r>
      <w:r w:rsidR="008E7FB8">
        <w:rPr>
          <w:rFonts w:hint="cs"/>
          <w:noProof/>
          <w:sz w:val="24"/>
          <w:szCs w:val="24"/>
          <w:rtl/>
          <w:lang w:eastAsia="en-US"/>
        </w:rPr>
        <w:t xml:space="preserve"> </w:t>
      </w:r>
      <w:r w:rsidRPr="000C37D3">
        <w:rPr>
          <w:noProof/>
          <w:sz w:val="24"/>
          <w:szCs w:val="24"/>
          <w:rtl/>
          <w:lang w:eastAsia="en-US"/>
        </w:rPr>
        <w:t>(!) תביעות לעומת כ-100 תביעות בשנת 2007, מניתוח הנתונים עולה, כי ישנם משרדי עו"ד סדרתיים שיזמו הגשת כ-100 תביעות בשנה (!) כאשר חלק גדול מהתביעות מתבררות בסופו של דבר כתביעות סרק.</w:t>
      </w:r>
    </w:p>
    <w:p w14:paraId="707E20F4"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בתי המשפט מתחו ביקורת על תובעים ועורכי דין שמגישים תביעות ייצוגיות ללא עילה רק כדי לגרוף לכיסם כספים בהליכי פשרה כביכול, וזאת לאחר שהנתבעים נחרדים מסכומי התביעה האסטרונומיים. הנתבעים מוכנים לשלם תשלום דמי "לא יחרץ" עבור מחיקת התביעה, כאשר למעשה מדובר בסוג של "סחיטה" אלגנטית.</w:t>
      </w:r>
    </w:p>
    <w:p w14:paraId="31C3175E"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מנגד, מוסד התביעה הייצוגית גרם לאכיפה אזרחית של חוקים והוראות שנועדו לטובת הציבור ולהגנה עליו, אך במשך שנים רבות לא נאכפו על ידי הרשויות.</w:t>
      </w:r>
    </w:p>
    <w:p w14:paraId="24644C30"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כדי לאזן בין האינטרסים, כאשר מחד גיסא האיום בתביעה ייצוגית יגרום לעוסקים להקפיד על חוקי הגנת הצרכן והתקנים, ומאידך גיסא למנוע את הצפת בתי המשפט באלפי תביעות ייצוגיות ולגרום לקריסת עסקים קטנים, מוצע לקבוע כי לפני כל הגשת תביעה ייצוגית לבית המשפט על התובע יהיה לפנות לנתבע בפניה מוקדמת. בפניה זו התובע ידרוש מהנתבע לתקן את העוול או לפצות את הנפגעים, לפי העניין.</w:t>
      </w:r>
    </w:p>
    <w:p w14:paraId="36CB9B83"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חובת פניה שכזו, תייתר ותחסוך מאות ואלפי תיקים בבתי המשפט, עשרות אלפי שעות שיפוט והוצאות בסך מיליוני שקלים, כספים שכאמור מועברים לעורכי דין, ובסופו של יום מגולגלים על הצרכן.</w:t>
      </w:r>
    </w:p>
    <w:p w14:paraId="3C19D4C5"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lastRenderedPageBreak/>
        <w:t>סוגית חובת הפנייה המוקדמת עלתה לאחרונה בפני בית המשפט העליון, בתיק עע"מ 2978/13 מי הגליל תאגיד והביוב האזורי בע"מ נ' יוסף אחמד יונס. בית המשפט קבע, כי לפני הגשת תביעה ייצוגית מינהלית נגד רשות ציבורית התובע מחויב לפנות לרשות בפניה מוקדמת.</w:t>
      </w:r>
    </w:p>
    <w:p w14:paraId="46045DC9"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פס"ד זה עוסק בתביעה נגד רשות ציבורית ולא בתובענה ייצוגית אזרחית, אך במסגרת פסק הדין פנה בית המשפט בקריאה למחוקק, על מנת שיסדיר את חובת הפניה המוקדמת גם בתביעה ייצוגית אזרחית. בית המשפט ציין את העומס המוטל על בתי המשפט בעקבות הגשת מאות תביעות סרק, שמטרתן העיקרית בסופו של יום מחיקת התביעה ופסיקת גמול למבקש והוצאות לעורכי דינו, כאשר ציבור הצרכנים כמעט ואינו יוצא נשכר מההליך.</w:t>
      </w:r>
    </w:p>
    <w:p w14:paraId="308EC827"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מגמה זו של חובת פניה מוקדמת לנתבע או למפר הוכרה בשנים האחרונות כחלק מחובת "תום הלב", ומטרתה העיקרית היא לחסוך משאבים וזמן שיפוטי. כך לדוגמה בהוראות הבחירות (דרכי תעמולה) (סדרי הדין בבקשות ועררים), התשע"ה–2015, נקבעה חובת פניה מוקדמת, במטרה לחסוך זמן שיפוטי.</w:t>
      </w:r>
    </w:p>
    <w:p w14:paraId="70A15BBA"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 xml:space="preserve">פניה מוקדמת תפתור בעיה נוספת, והיא התחרות בהגשת תובענות ייצוגיות, כאשר במקרה של תקלה בחברה מסחרית גדולה או גילוי הטעייה בעקבות תחקיר בתקשורת, כבר למחרת היום מתחרים תובעים ייצוגיים רבים מי יהיה הראשון שיגיש תובענה ייצוגית, הגשת התובענה נעשית עם אור ראשון בדרך כלל בצורה רשלנית ללא בירור העובדות רק כדי להיות ראשונים, במקרים רבים עוד טרם היה בידי הנתבעים להודיע שהם יפצו את הלקוחות, כאשר ברור שמטרת הגשת התובענות היא עשיית כסף קל ולא על מנת להגן על הצרכן. חובת הגשת פניה מוקדמת תצנן את השוק ותייתר במקרים רבים את הצורך בהגשת תובענה ייצוגית לבית המשפט. </w:t>
      </w:r>
    </w:p>
    <w:p w14:paraId="7948ED6C"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 xml:space="preserve">מנגד, ההרתעה שנוצרה בעקבות האיום בהגשת תובענות ייצוגיות מקדמת מטרות חשובות, בעיקר בתחום הגנת הצרכן והרתעת יצרנים ועסקים מניסיונות לעשוק, לרמות ולנצל את האזרח הקטן. לשם כך וכדי לאזן ולשמור על אינטרס הציבורי, מוצע שכדי להמשיך ולעודד פניה מוקדמת, במקרים מתאימים יקבל הפונה גמול עבור הפניה מוקדמת לנתבע, גם אם בסופו של יום הנתבע נענה לפניית התובע ולא הוגשה תביעה ייצוגית. </w:t>
      </w:r>
    </w:p>
    <w:p w14:paraId="7DC93600"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לפי ההסדר המוצע, לפני הגשת תובענה הייצוגית יחויב התובע לפנות לנתבע. במידה שהנתבע לא השיב בתוך 45 ימים לדרישת התובע או שהוא דחה את פנייתו או שנענה לדרישתו באופן חלקי, והתובע סבור כי יש מקום להגשת תובענה ייצוגית, יוכל התובע לפנות לבית המשפט ולהגיש תובענה ייצוגית נגד הנתבע.</w:t>
      </w:r>
    </w:p>
    <w:p w14:paraId="2B29A240" w14:textId="77777777" w:rsidR="00642369" w:rsidRDefault="00A136B9" w:rsidP="008E7FB8">
      <w:pPr>
        <w:spacing w:line="360" w:lineRule="auto"/>
        <w:jc w:val="both"/>
        <w:rPr>
          <w:noProof/>
          <w:sz w:val="24"/>
          <w:szCs w:val="24"/>
          <w:rtl/>
          <w:lang w:eastAsia="en-US"/>
        </w:rPr>
      </w:pPr>
      <w:r w:rsidRPr="000C37D3">
        <w:rPr>
          <w:noProof/>
          <w:sz w:val="24"/>
          <w:szCs w:val="24"/>
          <w:rtl/>
          <w:lang w:eastAsia="en-US"/>
        </w:rPr>
        <w:t xml:space="preserve">במידה שהנתבע קיבל את דרישות התובע או את חלקן, וכדי לעודד פניות של תובעים ייצוגיים, מוצע כי הנתבע ישלם לתובע גמול בסך 2,500 שקלים חדשים, ואם סכום </w:t>
      </w:r>
      <w:r w:rsidR="008E7FB8">
        <w:rPr>
          <w:rFonts w:hint="cs"/>
          <w:noProof/>
          <w:sz w:val="24"/>
          <w:szCs w:val="24"/>
          <w:rtl/>
          <w:lang w:eastAsia="en-US"/>
        </w:rPr>
        <w:t>הנזק</w:t>
      </w:r>
      <w:r w:rsidRPr="000C37D3">
        <w:rPr>
          <w:noProof/>
          <w:sz w:val="24"/>
          <w:szCs w:val="24"/>
          <w:rtl/>
          <w:lang w:eastAsia="en-US"/>
        </w:rPr>
        <w:t xml:space="preserve"> לציבור עלה על </w:t>
      </w:r>
      <w:r w:rsidR="00642369">
        <w:rPr>
          <w:rFonts w:hint="cs"/>
          <w:noProof/>
          <w:sz w:val="24"/>
          <w:szCs w:val="24"/>
          <w:rtl/>
          <w:lang w:eastAsia="en-US"/>
        </w:rPr>
        <w:t>1,000</w:t>
      </w:r>
      <w:r w:rsidRPr="000C37D3">
        <w:rPr>
          <w:noProof/>
          <w:sz w:val="24"/>
          <w:szCs w:val="24"/>
          <w:rtl/>
          <w:lang w:eastAsia="en-US"/>
        </w:rPr>
        <w:t>,000 שקלים חדשים ישולם גמול בסך 5</w:t>
      </w:r>
      <w:r w:rsidR="00642369">
        <w:rPr>
          <w:rFonts w:hint="cs"/>
          <w:noProof/>
          <w:sz w:val="24"/>
          <w:szCs w:val="24"/>
          <w:rtl/>
          <w:lang w:eastAsia="en-US"/>
        </w:rPr>
        <w:t>00</w:t>
      </w:r>
      <w:r w:rsidRPr="000C37D3">
        <w:rPr>
          <w:noProof/>
          <w:sz w:val="24"/>
          <w:szCs w:val="24"/>
          <w:rtl/>
          <w:lang w:eastAsia="en-US"/>
        </w:rPr>
        <w:t xml:space="preserve"> שקלים חדשים</w:t>
      </w:r>
      <w:r w:rsidR="00642369">
        <w:rPr>
          <w:rFonts w:hint="cs"/>
          <w:noProof/>
          <w:sz w:val="24"/>
          <w:szCs w:val="24"/>
          <w:rtl/>
          <w:lang w:eastAsia="en-US"/>
        </w:rPr>
        <w:t xml:space="preserve"> נוספים על כל 1,000,000 ₪ נזק שנגרם לכאורה לציבור</w:t>
      </w:r>
      <w:r w:rsidRPr="000C37D3">
        <w:rPr>
          <w:noProof/>
          <w:sz w:val="24"/>
          <w:szCs w:val="24"/>
          <w:rtl/>
          <w:lang w:eastAsia="en-US"/>
        </w:rPr>
        <w:t>.</w:t>
      </w:r>
      <w:r w:rsidR="00642369">
        <w:rPr>
          <w:rFonts w:hint="cs"/>
          <w:noProof/>
          <w:sz w:val="24"/>
          <w:szCs w:val="24"/>
          <w:rtl/>
          <w:lang w:eastAsia="en-US"/>
        </w:rPr>
        <w:t xml:space="preserve"> </w:t>
      </w:r>
    </w:p>
    <w:p w14:paraId="77423BA7" w14:textId="77777777" w:rsidR="00642369" w:rsidRDefault="00642369" w:rsidP="00642369">
      <w:pPr>
        <w:spacing w:line="360" w:lineRule="auto"/>
        <w:jc w:val="both"/>
        <w:rPr>
          <w:noProof/>
          <w:sz w:val="24"/>
          <w:szCs w:val="24"/>
          <w:rtl/>
          <w:lang w:eastAsia="en-US"/>
        </w:rPr>
      </w:pPr>
      <w:r w:rsidRPr="000C37D3">
        <w:rPr>
          <w:noProof/>
          <w:sz w:val="24"/>
          <w:szCs w:val="24"/>
          <w:rtl/>
          <w:lang w:eastAsia="en-US"/>
        </w:rPr>
        <w:t>אם הנתבע לא ישלם את הגמול, התובע יהיה רשאי לפנות לבית המשפט בבקשה לחיוב הנתבע בגמול. מוצע שבקשה זו תהיה פטורה מתשלום אגרה</w:t>
      </w:r>
      <w:r>
        <w:rPr>
          <w:rFonts w:hint="cs"/>
          <w:noProof/>
          <w:sz w:val="24"/>
          <w:szCs w:val="24"/>
          <w:rtl/>
          <w:lang w:eastAsia="en-US"/>
        </w:rPr>
        <w:t xml:space="preserve"> </w:t>
      </w:r>
    </w:p>
    <w:p w14:paraId="42F75DAB" w14:textId="77777777" w:rsidR="00A136B9" w:rsidRPr="000C37D3" w:rsidRDefault="00642369" w:rsidP="00642369">
      <w:pPr>
        <w:spacing w:line="360" w:lineRule="auto"/>
        <w:jc w:val="both"/>
        <w:rPr>
          <w:noProof/>
          <w:sz w:val="24"/>
          <w:szCs w:val="24"/>
          <w:rtl/>
          <w:lang w:eastAsia="en-US"/>
        </w:rPr>
      </w:pPr>
      <w:r>
        <w:rPr>
          <w:rFonts w:hint="cs"/>
          <w:noProof/>
          <w:sz w:val="24"/>
          <w:szCs w:val="24"/>
          <w:rtl/>
          <w:lang w:eastAsia="en-US"/>
        </w:rPr>
        <w:t xml:space="preserve">אישור גמול ההסתלקות יובא לאישור בפני בית המשפט, שיוכל לדחות את הפשרה המוצעת במקרים בהם הפנייה נראית קנטרנית, הנזק נכנס בגדרם של זוטי דברים, או כאשר מדובר על פניו, באפשרות כי העוסק גרם לנזק רב, חמור וקשה או שתחשובת הצדק איננה מאפשרת את אישור הפשרה בסכומים אלה ועל העוסק לפצות את הפונה ואת הציבור בסכומים גדולים בצורה משמעותית. כן, בית המשפט יהא מוסמך לקבוע </w:t>
      </w:r>
      <w:r w:rsidR="00A136B9" w:rsidRPr="000C37D3">
        <w:rPr>
          <w:noProof/>
          <w:sz w:val="24"/>
          <w:szCs w:val="24"/>
          <w:rtl/>
          <w:lang w:eastAsia="en-US"/>
        </w:rPr>
        <w:t>הוראות ו</w:t>
      </w:r>
      <w:r>
        <w:rPr>
          <w:rFonts w:hint="cs"/>
          <w:noProof/>
          <w:sz w:val="24"/>
          <w:szCs w:val="24"/>
          <w:rtl/>
          <w:lang w:eastAsia="en-US"/>
        </w:rPr>
        <w:t>ל</w:t>
      </w:r>
      <w:r w:rsidR="00A136B9" w:rsidRPr="000C37D3">
        <w:rPr>
          <w:noProof/>
          <w:sz w:val="24"/>
          <w:szCs w:val="24"/>
          <w:rtl/>
          <w:lang w:eastAsia="en-US"/>
        </w:rPr>
        <w:t xml:space="preserve">פקח על ביצוע התחייבות הנתבע, בהליך </w:t>
      </w:r>
      <w:r w:rsidR="00A136B9" w:rsidRPr="000C37D3">
        <w:rPr>
          <w:noProof/>
          <w:sz w:val="24"/>
          <w:szCs w:val="24"/>
          <w:rtl/>
          <w:lang w:eastAsia="en-US"/>
        </w:rPr>
        <w:lastRenderedPageBreak/>
        <w:t xml:space="preserve">שדומה לאישור הסכם או בוררות. במסגרת זו, בית המשפט יוכל לדרוש מהנתבע מידע או נתונים, וכן יוכל למנות מפקח כדי לאכוף ולפקח על ביצוע התחייבות הנתבע </w:t>
      </w:r>
      <w:r>
        <w:rPr>
          <w:rFonts w:hint="cs"/>
          <w:noProof/>
          <w:sz w:val="24"/>
          <w:szCs w:val="24"/>
          <w:rtl/>
          <w:lang w:eastAsia="en-US"/>
        </w:rPr>
        <w:t>ו</w:t>
      </w:r>
      <w:r w:rsidR="00A136B9" w:rsidRPr="000C37D3">
        <w:rPr>
          <w:noProof/>
          <w:sz w:val="24"/>
          <w:szCs w:val="24"/>
          <w:rtl/>
          <w:lang w:eastAsia="en-US"/>
        </w:rPr>
        <w:t>כלפי הקבוצה.</w:t>
      </w:r>
    </w:p>
    <w:p w14:paraId="26D14775"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עוד מוצע כי לעניין זכות הראשונים לפי סעיף 7 לחוק, תיחשב הפניה המוקדמת כמועד הגשת התביעה.</w:t>
      </w:r>
    </w:p>
    <w:p w14:paraId="45AF2148" w14:textId="77777777" w:rsidR="00A136B9" w:rsidRDefault="00A136B9" w:rsidP="00A136B9">
      <w:pPr>
        <w:spacing w:line="360" w:lineRule="auto"/>
        <w:jc w:val="both"/>
        <w:rPr>
          <w:noProof/>
          <w:sz w:val="24"/>
          <w:szCs w:val="24"/>
          <w:rtl/>
          <w:lang w:eastAsia="en-US"/>
        </w:rPr>
      </w:pPr>
      <w:r w:rsidRPr="000C37D3">
        <w:rPr>
          <w:noProof/>
          <w:sz w:val="24"/>
          <w:szCs w:val="24"/>
          <w:rtl/>
          <w:lang w:eastAsia="en-US"/>
        </w:rPr>
        <w:t>לאור החשש שבעקבות הפניה המוקדמת תחול התיישנות על חלק מהתקופה, מוצע כי במידה שהתובע יגיש תביעה בתוך שישה חודשים מיום הפניה המוקדמת, התקופה שבין יום הפניה המוקדמת ליום הגשת התובענה הייצוגית לא תבוא במניין לעניין ההתיישנות.</w:t>
      </w:r>
    </w:p>
    <w:p w14:paraId="6A9C8F76" w14:textId="77777777" w:rsidR="00A136B9" w:rsidRPr="000C37D3" w:rsidRDefault="00A136B9" w:rsidP="00642369">
      <w:pPr>
        <w:spacing w:line="360" w:lineRule="auto"/>
        <w:jc w:val="both"/>
        <w:rPr>
          <w:noProof/>
          <w:sz w:val="24"/>
          <w:szCs w:val="24"/>
          <w:rtl/>
          <w:lang w:eastAsia="en-US"/>
        </w:rPr>
      </w:pPr>
      <w:r>
        <w:rPr>
          <w:rFonts w:hint="cs"/>
          <w:noProof/>
          <w:sz w:val="24"/>
          <w:szCs w:val="24"/>
          <w:rtl/>
          <w:lang w:eastAsia="en-US"/>
        </w:rPr>
        <w:t xml:space="preserve">הצעת חוק דומה הוגשה לשלוחן הכנסת ביום כ"ב באייר התשע"ו, 30/5/16 ע"י חבר הכנסת </w:t>
      </w:r>
      <w:r w:rsidR="00642369">
        <w:rPr>
          <w:rFonts w:hint="cs"/>
          <w:noProof/>
          <w:sz w:val="24"/>
          <w:szCs w:val="24"/>
          <w:rtl/>
          <w:lang w:eastAsia="en-US"/>
        </w:rPr>
        <w:t>אורי מקלב</w:t>
      </w:r>
      <w:r w:rsidR="008E7FB8">
        <w:rPr>
          <w:rFonts w:hint="cs"/>
          <w:noProof/>
          <w:sz w:val="24"/>
          <w:szCs w:val="24"/>
          <w:rtl/>
          <w:lang w:eastAsia="en-US"/>
        </w:rPr>
        <w:t xml:space="preserve"> </w:t>
      </w:r>
      <w:r>
        <w:rPr>
          <w:rFonts w:hint="cs"/>
          <w:noProof/>
          <w:sz w:val="24"/>
          <w:szCs w:val="24"/>
          <w:rtl/>
          <w:lang w:eastAsia="en-US"/>
        </w:rPr>
        <w:t xml:space="preserve"> ואחרים</w:t>
      </w:r>
      <w:r>
        <w:rPr>
          <w:rStyle w:val="FootnoteReference"/>
          <w:noProof/>
          <w:sz w:val="24"/>
          <w:szCs w:val="24"/>
          <w:rtl/>
          <w:lang w:eastAsia="en-US"/>
        </w:rPr>
        <w:footnoteReference w:id="6"/>
      </w:r>
      <w:r>
        <w:rPr>
          <w:rFonts w:hint="cs"/>
          <w:noProof/>
          <w:sz w:val="24"/>
          <w:szCs w:val="24"/>
          <w:rtl/>
          <w:lang w:eastAsia="en-US"/>
        </w:rPr>
        <w:t>.</w:t>
      </w:r>
    </w:p>
    <w:p w14:paraId="13388693" w14:textId="77777777" w:rsidR="00A136B9" w:rsidRPr="000C37D3" w:rsidRDefault="00A136B9" w:rsidP="00A136B9">
      <w:pPr>
        <w:spacing w:line="360" w:lineRule="auto"/>
        <w:jc w:val="both"/>
        <w:rPr>
          <w:i/>
          <w:iCs/>
          <w:noProof/>
          <w:sz w:val="24"/>
          <w:szCs w:val="24"/>
          <w:rtl/>
          <w:lang w:eastAsia="en-US"/>
        </w:rPr>
      </w:pPr>
    </w:p>
    <w:p w14:paraId="7A8F6DAC"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w:t>
      </w:r>
    </w:p>
    <w:p w14:paraId="6B6F4922"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הוגשה ליו"ר הכנסת והסגנים</w:t>
      </w:r>
    </w:p>
    <w:p w14:paraId="27557BB0" w14:textId="77777777" w:rsidR="00A136B9" w:rsidRPr="000C37D3" w:rsidRDefault="00A136B9" w:rsidP="00A136B9">
      <w:pPr>
        <w:spacing w:line="360" w:lineRule="auto"/>
        <w:jc w:val="both"/>
        <w:rPr>
          <w:noProof/>
          <w:sz w:val="24"/>
          <w:szCs w:val="24"/>
          <w:rtl/>
          <w:lang w:eastAsia="en-US"/>
        </w:rPr>
      </w:pPr>
      <w:r w:rsidRPr="000C37D3">
        <w:rPr>
          <w:noProof/>
          <w:sz w:val="24"/>
          <w:szCs w:val="24"/>
          <w:rtl/>
          <w:lang w:eastAsia="en-US"/>
        </w:rPr>
        <w:t>והונחה על שולחן הכנסת ביום</w:t>
      </w:r>
    </w:p>
    <w:p w14:paraId="1576DCCA" w14:textId="77777777" w:rsidR="00A136B9" w:rsidRPr="000C37D3" w:rsidRDefault="00A136B9" w:rsidP="00A136B9">
      <w:pPr>
        <w:spacing w:line="360" w:lineRule="auto"/>
        <w:jc w:val="both"/>
        <w:rPr>
          <w:noProof/>
          <w:sz w:val="24"/>
          <w:szCs w:val="24"/>
          <w:lang w:eastAsia="en-US"/>
        </w:rPr>
      </w:pPr>
      <w:r>
        <w:rPr>
          <w:rFonts w:hint="cs"/>
          <w:noProof/>
          <w:sz w:val="24"/>
          <w:szCs w:val="24"/>
          <w:rtl/>
          <w:lang w:eastAsia="en-US"/>
        </w:rPr>
        <w:t>________________</w:t>
      </w:r>
    </w:p>
    <w:p w14:paraId="0C0100A9" w14:textId="77777777" w:rsidR="00316122" w:rsidRPr="00A136B9" w:rsidRDefault="00316122"/>
    <w:sectPr w:rsidR="00316122" w:rsidRPr="00A136B9" w:rsidSect="0081774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5B1D" w14:textId="77777777" w:rsidR="00A136B9" w:rsidRDefault="00A136B9" w:rsidP="00A136B9">
      <w:r>
        <w:separator/>
      </w:r>
    </w:p>
  </w:endnote>
  <w:endnote w:type="continuationSeparator" w:id="0">
    <w:p w14:paraId="6AE745DA" w14:textId="77777777" w:rsidR="00A136B9" w:rsidRDefault="00A136B9" w:rsidP="00A1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0D9E" w14:textId="77777777" w:rsidR="00A136B9" w:rsidRDefault="00A136B9" w:rsidP="00A136B9">
      <w:r>
        <w:separator/>
      </w:r>
    </w:p>
  </w:footnote>
  <w:footnote w:type="continuationSeparator" w:id="0">
    <w:p w14:paraId="7DE9CF1F" w14:textId="77777777" w:rsidR="00A136B9" w:rsidRDefault="00A136B9" w:rsidP="00A136B9">
      <w:r>
        <w:continuationSeparator/>
      </w:r>
    </w:p>
  </w:footnote>
  <w:footnote w:id="1">
    <w:p w14:paraId="2FB2E050" w14:textId="77777777" w:rsidR="00A136B9" w:rsidRPr="00A136B9" w:rsidRDefault="00A136B9" w:rsidP="00A136B9">
      <w:pPr>
        <w:pStyle w:val="FootnoteText"/>
        <w:rPr>
          <w:sz w:val="18"/>
          <w:szCs w:val="18"/>
        </w:rPr>
      </w:pPr>
      <w:r w:rsidRPr="00A136B9">
        <w:rPr>
          <w:rStyle w:val="FootnoteReference"/>
          <w:sz w:val="18"/>
          <w:szCs w:val="18"/>
        </w:rPr>
        <w:footnoteRef/>
      </w:r>
      <w:r w:rsidRPr="00A136B9">
        <w:rPr>
          <w:sz w:val="18"/>
          <w:szCs w:val="18"/>
          <w:rtl/>
        </w:rPr>
        <w:t xml:space="preserve"> ס"ח </w:t>
      </w:r>
      <w:proofErr w:type="spellStart"/>
      <w:r w:rsidRPr="00A136B9">
        <w:rPr>
          <w:sz w:val="18"/>
          <w:szCs w:val="18"/>
          <w:rtl/>
        </w:rPr>
        <w:t>התשס"ו</w:t>
      </w:r>
      <w:proofErr w:type="spellEnd"/>
      <w:r w:rsidRPr="00A136B9">
        <w:rPr>
          <w:sz w:val="18"/>
          <w:szCs w:val="18"/>
          <w:rtl/>
        </w:rPr>
        <w:t>, עמ' 264.</w:t>
      </w:r>
    </w:p>
  </w:footnote>
  <w:footnote w:id="2">
    <w:p w14:paraId="7C5416AE" w14:textId="77777777" w:rsidR="006D235F" w:rsidRDefault="006D235F" w:rsidP="006D235F">
      <w:pPr>
        <w:pStyle w:val="FootnoteText"/>
        <w:rPr>
          <w:rtl/>
        </w:rPr>
      </w:pPr>
      <w:r>
        <w:rPr>
          <w:rStyle w:val="FootnoteReference"/>
        </w:rPr>
        <w:footnoteRef/>
      </w:r>
      <w:r>
        <w:rPr>
          <w:rtl/>
        </w:rPr>
        <w:t xml:space="preserve"> </w:t>
      </w:r>
      <w:r>
        <w:rPr>
          <w:rFonts w:hint="cs"/>
          <w:rtl/>
        </w:rPr>
        <w:t xml:space="preserve">עסק זעיר - עד 5 עובדים ועד מחזור של 10 </w:t>
      </w:r>
      <w:proofErr w:type="spellStart"/>
      <w:r>
        <w:rPr>
          <w:rFonts w:hint="cs"/>
          <w:rtl/>
        </w:rPr>
        <w:t>מלש"ח</w:t>
      </w:r>
      <w:proofErr w:type="spellEnd"/>
      <w:r>
        <w:rPr>
          <w:rFonts w:hint="cs"/>
          <w:rtl/>
        </w:rPr>
        <w:t xml:space="preserve"> בשנה; עסק קטן - עד 50 עובדים ועד מחזור של 25 </w:t>
      </w:r>
      <w:proofErr w:type="spellStart"/>
      <w:r>
        <w:rPr>
          <w:rFonts w:hint="cs"/>
          <w:rtl/>
        </w:rPr>
        <w:t>מלש"ח</w:t>
      </w:r>
      <w:proofErr w:type="spellEnd"/>
      <w:r>
        <w:rPr>
          <w:rFonts w:hint="cs"/>
          <w:rtl/>
        </w:rPr>
        <w:t xml:space="preserve"> בשנה; עסק בינוני - עד 100 עובדים ועד מחזור של 100 </w:t>
      </w:r>
      <w:proofErr w:type="spellStart"/>
      <w:r>
        <w:rPr>
          <w:rFonts w:hint="cs"/>
          <w:rtl/>
        </w:rPr>
        <w:t>מלש"ח</w:t>
      </w:r>
      <w:proofErr w:type="spellEnd"/>
      <w:r>
        <w:rPr>
          <w:rFonts w:hint="cs"/>
          <w:rtl/>
        </w:rPr>
        <w:t xml:space="preserve"> בשנה.</w:t>
      </w:r>
      <w:r w:rsidR="00BC2133">
        <w:rPr>
          <w:rFonts w:hint="cs"/>
          <w:rtl/>
        </w:rPr>
        <w:t xml:space="preserve"> </w:t>
      </w:r>
      <w:hyperlink r:id="rId1" w:history="1">
        <w:r w:rsidR="00BC2133" w:rsidRPr="002D01F1">
          <w:rPr>
            <w:rStyle w:val="Hyperlink"/>
            <w:sz w:val="16"/>
            <w:szCs w:val="16"/>
          </w:rPr>
          <w:t>http://afed.gov.il/Documents/%D7%9E%D7%97%D7%A7%D7%A8%D7%99%20%D7%9E%D7%9E%D7%9E/%D7%9E%D7%97%D7%A7%D7%A8%20%D7%94%D7%9B%D7%A0%D7%A1%D7%AA%20%D7%9C%D7%94%D7%92%D7%93%D7%A8%D7%95%D7%AA%20%D7%A2%D7%A1%D7%A7%D7%99%D7%9D%202011.pdf</w:t>
        </w:r>
      </w:hyperlink>
      <w:r w:rsidR="00BC2133">
        <w:rPr>
          <w:rFonts w:hint="cs"/>
          <w:rtl/>
        </w:rPr>
        <w:t xml:space="preserve"> </w:t>
      </w:r>
    </w:p>
  </w:footnote>
  <w:footnote w:id="3">
    <w:p w14:paraId="40F70533" w14:textId="77777777" w:rsidR="00A136B9" w:rsidRPr="00A136B9" w:rsidRDefault="00A136B9" w:rsidP="00A136B9">
      <w:pPr>
        <w:pStyle w:val="FootnoteText"/>
        <w:rPr>
          <w:sz w:val="18"/>
          <w:szCs w:val="18"/>
        </w:rPr>
      </w:pPr>
      <w:r w:rsidRPr="00A136B9">
        <w:rPr>
          <w:rStyle w:val="FootnoteReference"/>
          <w:sz w:val="18"/>
          <w:szCs w:val="18"/>
        </w:rPr>
        <w:footnoteRef/>
      </w:r>
      <w:r w:rsidRPr="00A136B9">
        <w:rPr>
          <w:sz w:val="18"/>
          <w:szCs w:val="18"/>
          <w:rtl/>
        </w:rPr>
        <w:t xml:space="preserve"> ס"ח </w:t>
      </w:r>
      <w:proofErr w:type="spellStart"/>
      <w:r w:rsidRPr="00A136B9">
        <w:rPr>
          <w:sz w:val="18"/>
          <w:szCs w:val="18"/>
          <w:rtl/>
        </w:rPr>
        <w:t>התשי"ח</w:t>
      </w:r>
      <w:proofErr w:type="spellEnd"/>
      <w:r w:rsidRPr="00A136B9">
        <w:rPr>
          <w:sz w:val="18"/>
          <w:szCs w:val="18"/>
          <w:rtl/>
        </w:rPr>
        <w:t>, עמ' 112.</w:t>
      </w:r>
    </w:p>
  </w:footnote>
  <w:footnote w:id="4">
    <w:p w14:paraId="5F8F5642" w14:textId="77777777" w:rsidR="009B09E6" w:rsidRDefault="009B09E6" w:rsidP="009B09E6">
      <w:pPr>
        <w:pStyle w:val="FootnoteText"/>
        <w:rPr>
          <w:rtl/>
        </w:rPr>
      </w:pPr>
      <w:r>
        <w:rPr>
          <w:rStyle w:val="FootnoteReference"/>
        </w:rPr>
        <w:footnoteRef/>
      </w:r>
      <w:r>
        <w:rPr>
          <w:rtl/>
        </w:rPr>
        <w:t xml:space="preserve"> </w:t>
      </w:r>
      <w:r>
        <w:rPr>
          <w:rFonts w:hint="cs"/>
          <w:rtl/>
        </w:rPr>
        <w:t>אביב ושטיין, נתונים כמותיים אודות אגרות בתובענות ייצוגיות, בעמ' 10 (2019). פורסם באתר הרשות השופטת:</w:t>
      </w:r>
    </w:p>
    <w:p w14:paraId="18ED0EED" w14:textId="77777777" w:rsidR="009B09E6" w:rsidRDefault="009E1484" w:rsidP="009B09E6">
      <w:pPr>
        <w:pStyle w:val="FootnoteText"/>
      </w:pPr>
      <w:hyperlink r:id="rId2" w:history="1">
        <w:r w:rsidR="009B09E6">
          <w:rPr>
            <w:rStyle w:val="Hyperlink"/>
          </w:rPr>
          <w:t>https://www.gov.il/he/departments/publications/reports/research_01052019</w:t>
        </w:r>
      </w:hyperlink>
    </w:p>
  </w:footnote>
  <w:footnote w:id="5">
    <w:p w14:paraId="5962519E" w14:textId="77777777" w:rsidR="000841B2" w:rsidRDefault="000841B2" w:rsidP="000841B2">
      <w:pPr>
        <w:pStyle w:val="FootnoteText"/>
      </w:pPr>
      <w:r>
        <w:rPr>
          <w:rStyle w:val="FootnoteReference"/>
        </w:rPr>
        <w:footnoteRef/>
      </w:r>
      <w:r>
        <w:rPr>
          <w:rtl/>
        </w:rPr>
        <w:t xml:space="preserve"> </w:t>
      </w:r>
      <w:proofErr w:type="spellStart"/>
      <w:r>
        <w:rPr>
          <w:rFonts w:hint="cs"/>
          <w:rtl/>
        </w:rPr>
        <w:t>קלמנט</w:t>
      </w:r>
      <w:proofErr w:type="spellEnd"/>
      <w:r>
        <w:rPr>
          <w:rFonts w:hint="cs"/>
          <w:rtl/>
        </w:rPr>
        <w:t xml:space="preserve">, וינשל-מרגל ואח', תובענות ייצוגיות בישראל </w:t>
      </w:r>
      <w:r>
        <w:rPr>
          <w:rtl/>
        </w:rPr>
        <w:t>–</w:t>
      </w:r>
      <w:r>
        <w:rPr>
          <w:rFonts w:hint="cs"/>
          <w:rtl/>
        </w:rPr>
        <w:t xml:space="preserve"> פרספקטיבה אמפירית, בעמ' 40 (2014). פורסם באתר הרשות השופטת: </w:t>
      </w:r>
    </w:p>
    <w:p w14:paraId="2BE20B18" w14:textId="77777777" w:rsidR="000841B2" w:rsidRPr="000841B2" w:rsidRDefault="009E1484" w:rsidP="000841B2">
      <w:pPr>
        <w:pStyle w:val="FootnoteText"/>
        <w:rPr>
          <w:rtl/>
        </w:rPr>
      </w:pPr>
      <w:hyperlink r:id="rId3" w:history="1">
        <w:r w:rsidR="000841B2">
          <w:rPr>
            <w:rStyle w:val="Hyperlink"/>
          </w:rPr>
          <w:t>https://elyon1.court.gov.il/heb/Research%20Division/doc/25122014.pdf</w:t>
        </w:r>
      </w:hyperlink>
      <w:r w:rsidR="000841B2">
        <w:rPr>
          <w:rFonts w:hint="cs"/>
          <w:rtl/>
        </w:rPr>
        <w:t xml:space="preserve"> </w:t>
      </w:r>
    </w:p>
  </w:footnote>
  <w:footnote w:id="6">
    <w:p w14:paraId="19D05264" w14:textId="77777777" w:rsidR="00A136B9" w:rsidRPr="00A136B9" w:rsidRDefault="00A136B9" w:rsidP="00A136B9">
      <w:pPr>
        <w:pStyle w:val="FootnoteText"/>
        <w:rPr>
          <w:sz w:val="18"/>
          <w:szCs w:val="18"/>
          <w:rtl/>
        </w:rPr>
      </w:pPr>
      <w:r w:rsidRPr="00A136B9">
        <w:rPr>
          <w:rStyle w:val="FootnoteReference"/>
          <w:sz w:val="18"/>
          <w:szCs w:val="18"/>
        </w:rPr>
        <w:footnoteRef/>
      </w:r>
      <w:r w:rsidRPr="00A136B9">
        <w:rPr>
          <w:rFonts w:hint="cs"/>
          <w:sz w:val="18"/>
          <w:szCs w:val="18"/>
          <w:rtl/>
        </w:rPr>
        <w:t xml:space="preserve"> פ/</w:t>
      </w:r>
      <w:r w:rsidRPr="00A136B9">
        <w:rPr>
          <w:noProof/>
          <w:sz w:val="18"/>
          <w:szCs w:val="18"/>
          <w:rtl/>
          <w:lang w:eastAsia="en-US"/>
        </w:rPr>
        <w:t>3026/20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B9"/>
    <w:rsid w:val="00001F72"/>
    <w:rsid w:val="0004383C"/>
    <w:rsid w:val="00075B2E"/>
    <w:rsid w:val="000841B2"/>
    <w:rsid w:val="000A40ED"/>
    <w:rsid w:val="000B6351"/>
    <w:rsid w:val="000C5EE7"/>
    <w:rsid w:val="000D6C05"/>
    <w:rsid w:val="001153AD"/>
    <w:rsid w:val="00150168"/>
    <w:rsid w:val="001C20F7"/>
    <w:rsid w:val="00230D6E"/>
    <w:rsid w:val="00242B43"/>
    <w:rsid w:val="00244ECE"/>
    <w:rsid w:val="00250661"/>
    <w:rsid w:val="00252757"/>
    <w:rsid w:val="002615F6"/>
    <w:rsid w:val="00273292"/>
    <w:rsid w:val="002868A0"/>
    <w:rsid w:val="00296F93"/>
    <w:rsid w:val="00297ED1"/>
    <w:rsid w:val="002A0258"/>
    <w:rsid w:val="002A3DFD"/>
    <w:rsid w:val="002B6555"/>
    <w:rsid w:val="002C03CE"/>
    <w:rsid w:val="002C192C"/>
    <w:rsid w:val="002C659A"/>
    <w:rsid w:val="002D01F1"/>
    <w:rsid w:val="002D2D97"/>
    <w:rsid w:val="002D6A84"/>
    <w:rsid w:val="002E13F5"/>
    <w:rsid w:val="002E3599"/>
    <w:rsid w:val="002F3EF0"/>
    <w:rsid w:val="002F4975"/>
    <w:rsid w:val="00316122"/>
    <w:rsid w:val="003314BC"/>
    <w:rsid w:val="00334143"/>
    <w:rsid w:val="00334CDE"/>
    <w:rsid w:val="00336188"/>
    <w:rsid w:val="0033689C"/>
    <w:rsid w:val="003406AD"/>
    <w:rsid w:val="00340F7B"/>
    <w:rsid w:val="00360CB6"/>
    <w:rsid w:val="00363B9C"/>
    <w:rsid w:val="00370A10"/>
    <w:rsid w:val="0037483F"/>
    <w:rsid w:val="003A4E18"/>
    <w:rsid w:val="003A5195"/>
    <w:rsid w:val="003A7CB4"/>
    <w:rsid w:val="003B13AF"/>
    <w:rsid w:val="003C7544"/>
    <w:rsid w:val="003D2A5C"/>
    <w:rsid w:val="003D7135"/>
    <w:rsid w:val="003F042F"/>
    <w:rsid w:val="0040514E"/>
    <w:rsid w:val="004316DB"/>
    <w:rsid w:val="0043437A"/>
    <w:rsid w:val="004544C0"/>
    <w:rsid w:val="00465739"/>
    <w:rsid w:val="00473209"/>
    <w:rsid w:val="00490351"/>
    <w:rsid w:val="004C2360"/>
    <w:rsid w:val="004C4E6F"/>
    <w:rsid w:val="004C533D"/>
    <w:rsid w:val="004C6560"/>
    <w:rsid w:val="004C6EBE"/>
    <w:rsid w:val="00530F16"/>
    <w:rsid w:val="0056708B"/>
    <w:rsid w:val="00567F48"/>
    <w:rsid w:val="00576461"/>
    <w:rsid w:val="005A269B"/>
    <w:rsid w:val="005A50C5"/>
    <w:rsid w:val="005A5687"/>
    <w:rsid w:val="005C1CBA"/>
    <w:rsid w:val="005D0AC9"/>
    <w:rsid w:val="005D7106"/>
    <w:rsid w:val="005F0B0A"/>
    <w:rsid w:val="005F24E1"/>
    <w:rsid w:val="005F4908"/>
    <w:rsid w:val="006233F6"/>
    <w:rsid w:val="00634A16"/>
    <w:rsid w:val="00640DD0"/>
    <w:rsid w:val="00642369"/>
    <w:rsid w:val="00654132"/>
    <w:rsid w:val="00691268"/>
    <w:rsid w:val="0069614D"/>
    <w:rsid w:val="00696717"/>
    <w:rsid w:val="006B6379"/>
    <w:rsid w:val="006C55E9"/>
    <w:rsid w:val="006C6734"/>
    <w:rsid w:val="006D0235"/>
    <w:rsid w:val="006D15F4"/>
    <w:rsid w:val="006D235F"/>
    <w:rsid w:val="006D40D1"/>
    <w:rsid w:val="006D5BA4"/>
    <w:rsid w:val="006E1299"/>
    <w:rsid w:val="00710301"/>
    <w:rsid w:val="00710615"/>
    <w:rsid w:val="0072189E"/>
    <w:rsid w:val="00721B42"/>
    <w:rsid w:val="00725D2D"/>
    <w:rsid w:val="0073111A"/>
    <w:rsid w:val="00733052"/>
    <w:rsid w:val="00735E3C"/>
    <w:rsid w:val="007414B2"/>
    <w:rsid w:val="00746C94"/>
    <w:rsid w:val="00761629"/>
    <w:rsid w:val="0076676C"/>
    <w:rsid w:val="007963F7"/>
    <w:rsid w:val="007A26AF"/>
    <w:rsid w:val="007A4210"/>
    <w:rsid w:val="007B5B5C"/>
    <w:rsid w:val="007B5E31"/>
    <w:rsid w:val="007C1433"/>
    <w:rsid w:val="007D6452"/>
    <w:rsid w:val="007E7C99"/>
    <w:rsid w:val="00805565"/>
    <w:rsid w:val="00817746"/>
    <w:rsid w:val="00822E9B"/>
    <w:rsid w:val="00823408"/>
    <w:rsid w:val="00833DE7"/>
    <w:rsid w:val="00842A1F"/>
    <w:rsid w:val="00853FD1"/>
    <w:rsid w:val="00866FDB"/>
    <w:rsid w:val="00886074"/>
    <w:rsid w:val="00886755"/>
    <w:rsid w:val="008963B3"/>
    <w:rsid w:val="008A1AA3"/>
    <w:rsid w:val="008A1ED3"/>
    <w:rsid w:val="008B062C"/>
    <w:rsid w:val="008D48DD"/>
    <w:rsid w:val="008E659F"/>
    <w:rsid w:val="008E7FB8"/>
    <w:rsid w:val="009310D0"/>
    <w:rsid w:val="00940E16"/>
    <w:rsid w:val="00944196"/>
    <w:rsid w:val="009613D3"/>
    <w:rsid w:val="0096419D"/>
    <w:rsid w:val="009669C6"/>
    <w:rsid w:val="00972188"/>
    <w:rsid w:val="009826A3"/>
    <w:rsid w:val="009A26DB"/>
    <w:rsid w:val="009A2C92"/>
    <w:rsid w:val="009A322E"/>
    <w:rsid w:val="009B09E6"/>
    <w:rsid w:val="009E1484"/>
    <w:rsid w:val="009F0B70"/>
    <w:rsid w:val="009F777B"/>
    <w:rsid w:val="00A053A8"/>
    <w:rsid w:val="00A136B9"/>
    <w:rsid w:val="00A369C9"/>
    <w:rsid w:val="00A37117"/>
    <w:rsid w:val="00A70E49"/>
    <w:rsid w:val="00A77C67"/>
    <w:rsid w:val="00A95D38"/>
    <w:rsid w:val="00A97C28"/>
    <w:rsid w:val="00AB0D54"/>
    <w:rsid w:val="00AB3ADD"/>
    <w:rsid w:val="00AC3208"/>
    <w:rsid w:val="00AE7E62"/>
    <w:rsid w:val="00AF2309"/>
    <w:rsid w:val="00AF610E"/>
    <w:rsid w:val="00AF6F22"/>
    <w:rsid w:val="00B009BD"/>
    <w:rsid w:val="00B13B0B"/>
    <w:rsid w:val="00B23308"/>
    <w:rsid w:val="00B5092C"/>
    <w:rsid w:val="00B74762"/>
    <w:rsid w:val="00B84A6D"/>
    <w:rsid w:val="00BB604C"/>
    <w:rsid w:val="00BC17C5"/>
    <w:rsid w:val="00BC2133"/>
    <w:rsid w:val="00BD2CE9"/>
    <w:rsid w:val="00BE5C0A"/>
    <w:rsid w:val="00C00A46"/>
    <w:rsid w:val="00C00D06"/>
    <w:rsid w:val="00C02688"/>
    <w:rsid w:val="00C2047E"/>
    <w:rsid w:val="00C620D6"/>
    <w:rsid w:val="00C62E99"/>
    <w:rsid w:val="00C66E5E"/>
    <w:rsid w:val="00C74A97"/>
    <w:rsid w:val="00C74EAE"/>
    <w:rsid w:val="00C75623"/>
    <w:rsid w:val="00CB00DC"/>
    <w:rsid w:val="00CB60DE"/>
    <w:rsid w:val="00CE7F3E"/>
    <w:rsid w:val="00D01C71"/>
    <w:rsid w:val="00D13DC8"/>
    <w:rsid w:val="00D179FB"/>
    <w:rsid w:val="00D260C0"/>
    <w:rsid w:val="00D31C6B"/>
    <w:rsid w:val="00D6065A"/>
    <w:rsid w:val="00D7236C"/>
    <w:rsid w:val="00D831C8"/>
    <w:rsid w:val="00D86AEF"/>
    <w:rsid w:val="00DA51AB"/>
    <w:rsid w:val="00DC0ECE"/>
    <w:rsid w:val="00DE3FD7"/>
    <w:rsid w:val="00DE5A1E"/>
    <w:rsid w:val="00E046E4"/>
    <w:rsid w:val="00E3164A"/>
    <w:rsid w:val="00E51BB3"/>
    <w:rsid w:val="00E5209B"/>
    <w:rsid w:val="00E762B1"/>
    <w:rsid w:val="00EA032D"/>
    <w:rsid w:val="00EA684F"/>
    <w:rsid w:val="00EE43FF"/>
    <w:rsid w:val="00EF503B"/>
    <w:rsid w:val="00F04490"/>
    <w:rsid w:val="00F102B3"/>
    <w:rsid w:val="00F135CF"/>
    <w:rsid w:val="00F163CE"/>
    <w:rsid w:val="00F33414"/>
    <w:rsid w:val="00F4017D"/>
    <w:rsid w:val="00F60D2D"/>
    <w:rsid w:val="00F71459"/>
    <w:rsid w:val="00F72C65"/>
    <w:rsid w:val="00F72F87"/>
    <w:rsid w:val="00F85F13"/>
    <w:rsid w:val="00F863AF"/>
    <w:rsid w:val="00F86B7C"/>
    <w:rsid w:val="00F91886"/>
    <w:rsid w:val="00FA3CE3"/>
    <w:rsid w:val="00FA720A"/>
    <w:rsid w:val="00FB6C58"/>
    <w:rsid w:val="00FB7B2D"/>
    <w:rsid w:val="00FC123D"/>
    <w:rsid w:val="00FC4210"/>
    <w:rsid w:val="00FD04A7"/>
    <w:rsid w:val="00FD77BF"/>
    <w:rsid w:val="00FE6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D70B"/>
  <w15:docId w15:val="{5B2EBE92-0EC1-439D-AB1C-77183507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B9"/>
    <w:pPr>
      <w:bidi/>
      <w:spacing w:after="0" w:line="240" w:lineRule="auto"/>
    </w:pPr>
    <w:rPr>
      <w:rFonts w:ascii="Times New Roman" w:eastAsia="Times New Roman" w:hAnsi="Times New Roman" w:cs="David"/>
      <w:sz w:val="26"/>
      <w:szCs w:val="26"/>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136B9"/>
    <w:rPr>
      <w:sz w:val="20"/>
      <w:szCs w:val="20"/>
    </w:rPr>
  </w:style>
  <w:style w:type="character" w:customStyle="1" w:styleId="FootnoteTextChar">
    <w:name w:val="Footnote Text Char"/>
    <w:basedOn w:val="DefaultParagraphFont"/>
    <w:link w:val="FootnoteText"/>
    <w:uiPriority w:val="99"/>
    <w:rsid w:val="00A136B9"/>
    <w:rPr>
      <w:rFonts w:ascii="Times New Roman" w:eastAsia="Times New Roman" w:hAnsi="Times New Roman" w:cs="David"/>
      <w:sz w:val="20"/>
      <w:szCs w:val="20"/>
      <w:lang w:eastAsia="he-IL"/>
    </w:rPr>
  </w:style>
  <w:style w:type="character" w:styleId="FootnoteReference">
    <w:name w:val="footnote reference"/>
    <w:uiPriority w:val="99"/>
    <w:unhideWhenUsed/>
    <w:rsid w:val="00A136B9"/>
    <w:rPr>
      <w:vertAlign w:val="superscript"/>
    </w:rPr>
  </w:style>
  <w:style w:type="paragraph" w:styleId="Header">
    <w:name w:val="header"/>
    <w:basedOn w:val="Normal"/>
    <w:link w:val="HeaderChar"/>
    <w:uiPriority w:val="99"/>
    <w:unhideWhenUsed/>
    <w:rsid w:val="009B09E6"/>
    <w:pPr>
      <w:tabs>
        <w:tab w:val="center" w:pos="4153"/>
        <w:tab w:val="right" w:pos="8306"/>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09E6"/>
  </w:style>
  <w:style w:type="character" w:styleId="Hyperlink">
    <w:name w:val="Hyperlink"/>
    <w:basedOn w:val="DefaultParagraphFont"/>
    <w:uiPriority w:val="99"/>
    <w:semiHidden/>
    <w:unhideWhenUsed/>
    <w:rsid w:val="009B0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lyon1.court.gov.il/heb/Research%20Division/doc/25122014.pdf" TargetMode="External"/><Relationship Id="rId2" Type="http://schemas.openxmlformats.org/officeDocument/2006/relationships/hyperlink" Target="https://www.gov.il/he/departments/publications/reports/research_01052019" TargetMode="External"/><Relationship Id="rId1" Type="http://schemas.openxmlformats.org/officeDocument/2006/relationships/hyperlink" Target="http://afed.gov.il/Documents/%D7%9E%D7%97%D7%A7%D7%A8%D7%99%20%D7%9E%D7%9E%D7%9E/%D7%9E%D7%97%D7%A7%D7%A8%20%D7%94%D7%9B%D7%A0%D7%A1%D7%AA%20%D7%9C%D7%94%D7%92%D7%93%D7%A8%D7%95%D7%AA%20%D7%A2%D7%A1%D7%A7%D7%99%D7%9D%20201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2BBE-252D-4FD9-B421-D361F7C9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2042</Words>
  <Characters>10214</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Kaplan</dc:creator>
  <cp:lastModifiedBy>Nir Kaplan</cp:lastModifiedBy>
  <cp:revision>3</cp:revision>
  <dcterms:created xsi:type="dcterms:W3CDTF">2023-02-27T15:14:00Z</dcterms:created>
  <dcterms:modified xsi:type="dcterms:W3CDTF">2023-02-27T15:14:00Z</dcterms:modified>
</cp:coreProperties>
</file>