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FEC" w14:textId="0CE177D3" w:rsidR="008B379F" w:rsidRPr="0032420E" w:rsidRDefault="00DD10F5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27/2/23</w:t>
      </w:r>
    </w:p>
    <w:p w14:paraId="799E7D71" w14:textId="503F43CC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2618CABE" w14:textId="2026A880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5C7639B7" w14:textId="77777777" w:rsidR="006160F9" w:rsidRPr="0032420E" w:rsidRDefault="006160F9" w:rsidP="006160F9">
      <w:pPr>
        <w:bidi/>
        <w:ind w:left="-283" w:right="-170"/>
        <w:jc w:val="right"/>
        <w:rPr>
          <w:rFonts w:ascii="David" w:hAnsi="David" w:cs="David"/>
        </w:rPr>
      </w:pPr>
    </w:p>
    <w:p w14:paraId="026908FF" w14:textId="74793FE6" w:rsidR="00A30BDA" w:rsidRPr="00A57288" w:rsidRDefault="00DD10F5" w:rsidP="00DD10F5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>ינואר</w:t>
      </w:r>
      <w:r w:rsidR="00D81403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 </w:t>
      </w:r>
      <w:r w:rsidR="0033697E">
        <w:rPr>
          <w:rFonts w:ascii="David" w:hAnsi="David" w:cs="David" w:hint="cs"/>
          <w:b/>
          <w:bCs/>
          <w:sz w:val="40"/>
          <w:szCs w:val="40"/>
          <w:u w:val="single"/>
          <w:rtl/>
        </w:rPr>
        <w:t>השחור</w:t>
      </w:r>
      <w:r w:rsidR="00D81403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 </w:t>
      </w:r>
      <w:r w:rsidR="006B134F">
        <w:rPr>
          <w:rFonts w:ascii="David" w:hAnsi="David" w:cs="David" w:hint="cs"/>
          <w:b/>
          <w:bCs/>
          <w:sz w:val="40"/>
          <w:szCs w:val="40"/>
          <w:u w:val="single"/>
          <w:rtl/>
        </w:rPr>
        <w:t>של ה</w:t>
      </w:r>
      <w:r w:rsidR="0033697E">
        <w:rPr>
          <w:rFonts w:ascii="David" w:hAnsi="David" w:cs="David" w:hint="cs"/>
          <w:b/>
          <w:bCs/>
          <w:sz w:val="40"/>
          <w:szCs w:val="40"/>
          <w:u w:val="single"/>
          <w:rtl/>
        </w:rPr>
        <w:t>תיירות הנכנסת</w:t>
      </w:r>
      <w:r w:rsidR="00D81403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: </w:t>
      </w: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מגמת ההתאוששות </w:t>
      </w:r>
      <w:proofErr w:type="spellStart"/>
      <w:r w:rsidR="0033697E">
        <w:rPr>
          <w:rFonts w:ascii="David" w:hAnsi="David" w:cs="David" w:hint="cs"/>
          <w:b/>
          <w:bCs/>
          <w:sz w:val="40"/>
          <w:szCs w:val="40"/>
          <w:u w:val="single"/>
          <w:rtl/>
        </w:rPr>
        <w:t>ממגיפת</w:t>
      </w:r>
      <w:proofErr w:type="spellEnd"/>
      <w:r w:rsidR="0033697E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 הקורונה </w:t>
      </w: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עדיין לא נראית באופק </w:t>
      </w:r>
    </w:p>
    <w:p w14:paraId="4E6A8CF1" w14:textId="2D080D52" w:rsidR="002E33F4" w:rsidRDefault="002E33F4" w:rsidP="00A57288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CDFC710" w14:textId="56CEEE43" w:rsidR="0033697E" w:rsidRPr="0033697E" w:rsidRDefault="00DD10F5" w:rsidP="0033697E">
      <w:pPr>
        <w:bidi/>
        <w:rPr>
          <w:rFonts w:ascii="David" w:hAnsi="David" w:cs="David"/>
          <w:b/>
          <w:bCs/>
          <w:sz w:val="28"/>
          <w:szCs w:val="28"/>
        </w:rPr>
      </w:pPr>
      <w:r w:rsidRPr="00DD10F5">
        <w:rPr>
          <w:rFonts w:ascii="David" w:hAnsi="David" w:cs="David" w:hint="cs"/>
          <w:b/>
          <w:bCs/>
          <w:sz w:val="28"/>
          <w:szCs w:val="28"/>
          <w:rtl/>
        </w:rPr>
        <w:t>חודש ינואר</w:t>
      </w:r>
      <w:r w:rsidR="0033697E">
        <w:rPr>
          <w:rFonts w:ascii="David" w:hAnsi="David" w:cs="David" w:hint="cs"/>
          <w:b/>
          <w:bCs/>
          <w:sz w:val="28"/>
          <w:szCs w:val="28"/>
          <w:rtl/>
        </w:rPr>
        <w:t xml:space="preserve">, הנחשב מאז ומעולם לחודש החלש בשנה, </w:t>
      </w:r>
      <w:r w:rsidRPr="00DD10F5">
        <w:rPr>
          <w:rFonts w:ascii="David" w:hAnsi="David" w:cs="David" w:hint="cs"/>
          <w:b/>
          <w:bCs/>
          <w:sz w:val="28"/>
          <w:szCs w:val="28"/>
          <w:rtl/>
        </w:rPr>
        <w:t>פתח את שנת 2023 בירידה של 26% בלינות התיירים במלונות</w:t>
      </w:r>
      <w:r w:rsidR="0033697E">
        <w:rPr>
          <w:rFonts w:ascii="David" w:hAnsi="David" w:cs="David" w:hint="cs"/>
          <w:b/>
          <w:bCs/>
          <w:sz w:val="28"/>
          <w:szCs w:val="28"/>
          <w:rtl/>
        </w:rPr>
        <w:t>, הרחק מנתוני ינואר 2019</w:t>
      </w:r>
      <w:r w:rsidRPr="00DD10F5">
        <w:rPr>
          <w:rFonts w:ascii="David" w:hAnsi="David" w:cs="David" w:hint="cs"/>
          <w:b/>
          <w:bCs/>
          <w:sz w:val="28"/>
          <w:szCs w:val="28"/>
          <w:rtl/>
        </w:rPr>
        <w:t>. מגמ</w:t>
      </w:r>
      <w:r w:rsidR="0033697E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DD10F5">
        <w:rPr>
          <w:rFonts w:ascii="David" w:hAnsi="David" w:cs="David" w:hint="cs"/>
          <w:b/>
          <w:bCs/>
          <w:sz w:val="28"/>
          <w:szCs w:val="28"/>
          <w:rtl/>
        </w:rPr>
        <w:t xml:space="preserve"> זו היא המשך </w:t>
      </w:r>
      <w:r w:rsidR="0033697E" w:rsidRPr="0033697E">
        <w:rPr>
          <w:rFonts w:ascii="David" w:hAnsi="David" w:cs="David"/>
          <w:b/>
          <w:bCs/>
          <w:sz w:val="28"/>
          <w:szCs w:val="28"/>
          <w:rtl/>
        </w:rPr>
        <w:t>לירידה של כ-27% בממוצע ברבעון האחרון של 2022.</w:t>
      </w:r>
    </w:p>
    <w:p w14:paraId="4FE4742C" w14:textId="77777777" w:rsidR="0033697E" w:rsidRDefault="0033697E" w:rsidP="0033697E">
      <w:pPr>
        <w:bidi/>
        <w:rPr>
          <w:rFonts w:ascii="Arial" w:hAnsi="Arial"/>
          <w:sz w:val="24"/>
          <w:szCs w:val="24"/>
          <w:rtl/>
        </w:rPr>
      </w:pPr>
    </w:p>
    <w:p w14:paraId="7670C2B8" w14:textId="77777777" w:rsidR="00AC1CD8" w:rsidRDefault="00AC1CD8" w:rsidP="00A30BDA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83E15ED" w14:textId="4D9221BC" w:rsidR="008B379F" w:rsidRDefault="008B379F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בינואר</w:t>
      </w:r>
      <w:r w:rsidRPr="00273EFD">
        <w:rPr>
          <w:rFonts w:ascii="David" w:hAnsi="David" w:cs="David"/>
          <w:sz w:val="28"/>
          <w:szCs w:val="28"/>
          <w:rtl/>
        </w:rPr>
        <w:t xml:space="preserve"> הסתכמו לינות התיירים בכ-</w:t>
      </w:r>
      <w:r w:rsidR="00DD10F5">
        <w:rPr>
          <w:rFonts w:ascii="David" w:hAnsi="David" w:cs="David" w:hint="cs"/>
          <w:sz w:val="28"/>
          <w:szCs w:val="28"/>
          <w:rtl/>
        </w:rPr>
        <w:t>589</w:t>
      </w:r>
      <w:r w:rsidR="000609EF">
        <w:rPr>
          <w:rFonts w:ascii="David" w:hAnsi="David" w:cs="David"/>
          <w:sz w:val="28"/>
          <w:szCs w:val="28"/>
          <w:rtl/>
        </w:rPr>
        <w:t xml:space="preserve"> אלף</w:t>
      </w:r>
      <w:r w:rsidR="000609EF">
        <w:rPr>
          <w:rFonts w:ascii="David" w:hAnsi="David" w:cs="David" w:hint="cs"/>
          <w:sz w:val="28"/>
          <w:szCs w:val="28"/>
          <w:rtl/>
        </w:rPr>
        <w:t xml:space="preserve"> </w:t>
      </w:r>
      <w:r w:rsidR="000609EF">
        <w:rPr>
          <w:rFonts w:ascii="David" w:hAnsi="David" w:cs="David"/>
          <w:sz w:val="28"/>
          <w:szCs w:val="28"/>
          <w:rtl/>
        </w:rPr>
        <w:t>–</w:t>
      </w:r>
      <w:r w:rsidR="00DD10F5">
        <w:rPr>
          <w:rFonts w:ascii="David" w:hAnsi="David" w:cs="David" w:hint="cs"/>
          <w:sz w:val="28"/>
          <w:szCs w:val="28"/>
          <w:rtl/>
        </w:rPr>
        <w:t xml:space="preserve"> ירידה של 26% לעומת ינואר 2019. </w:t>
      </w:r>
      <w:r w:rsidR="00A30BDA">
        <w:rPr>
          <w:rFonts w:ascii="David" w:hAnsi="David" w:cs="David" w:hint="cs"/>
          <w:sz w:val="28"/>
          <w:szCs w:val="28"/>
          <w:rtl/>
        </w:rPr>
        <w:t>המספרים</w:t>
      </w:r>
      <w:r w:rsidR="0033697E">
        <w:rPr>
          <w:rFonts w:ascii="David" w:hAnsi="David" w:cs="David" w:hint="cs"/>
          <w:sz w:val="28"/>
          <w:szCs w:val="28"/>
          <w:rtl/>
        </w:rPr>
        <w:t>, כאמור,</w:t>
      </w:r>
      <w:r w:rsidR="00A30BDA">
        <w:rPr>
          <w:rFonts w:ascii="David" w:hAnsi="David" w:cs="David" w:hint="cs"/>
          <w:sz w:val="28"/>
          <w:szCs w:val="28"/>
          <w:rtl/>
        </w:rPr>
        <w:t xml:space="preserve"> עדיין רחוקים מאלה של 2019. </w:t>
      </w:r>
    </w:p>
    <w:p w14:paraId="43B60752" w14:textId="77777777" w:rsidR="00DD10F5" w:rsidRPr="00273EFD" w:rsidRDefault="00DD10F5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20DBE3ED" w14:textId="763DD500" w:rsidR="008B379F" w:rsidRPr="00273EFD" w:rsidRDefault="00B56132" w:rsidP="00DD10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</w:t>
      </w:r>
      <w:r w:rsidR="0033697E">
        <w:rPr>
          <w:rFonts w:ascii="David" w:hAnsi="David" w:cs="David" w:hint="cs"/>
          <w:sz w:val="28"/>
          <w:szCs w:val="28"/>
          <w:rtl/>
        </w:rPr>
        <w:t xml:space="preserve">זורי הפריפריה, </w:t>
      </w:r>
      <w:r>
        <w:rPr>
          <w:rFonts w:ascii="David" w:hAnsi="David" w:cs="David" w:hint="cs"/>
          <w:sz w:val="28"/>
          <w:szCs w:val="28"/>
          <w:rtl/>
        </w:rPr>
        <w:t>מובילים את המספרים השליליים בלינות התיירים ו</w:t>
      </w:r>
      <w:r w:rsidR="0033697E">
        <w:rPr>
          <w:rFonts w:ascii="David" w:hAnsi="David" w:cs="David" w:hint="cs"/>
          <w:sz w:val="28"/>
          <w:szCs w:val="28"/>
          <w:rtl/>
        </w:rPr>
        <w:t xml:space="preserve">מדשדשים עמוק בתחתית </w:t>
      </w:r>
      <w:r>
        <w:rPr>
          <w:rFonts w:ascii="David" w:hAnsi="David" w:cs="David" w:hint="cs"/>
          <w:sz w:val="28"/>
          <w:szCs w:val="28"/>
          <w:rtl/>
        </w:rPr>
        <w:t xml:space="preserve">הטבלה : </w:t>
      </w:r>
      <w:r w:rsidR="0033697E">
        <w:rPr>
          <w:rFonts w:ascii="David" w:hAnsi="David" w:cs="David" w:hint="cs"/>
          <w:sz w:val="28"/>
          <w:szCs w:val="28"/>
          <w:rtl/>
        </w:rPr>
        <w:t xml:space="preserve"> נצרת עם ירידה של 50%!</w:t>
      </w:r>
      <w:r>
        <w:rPr>
          <w:rFonts w:ascii="David" w:hAnsi="David" w:cs="David" w:hint="cs"/>
          <w:sz w:val="28"/>
          <w:szCs w:val="28"/>
          <w:rtl/>
        </w:rPr>
        <w:t xml:space="preserve"> לעומת 2019</w:t>
      </w:r>
      <w:r w:rsidR="0033697E">
        <w:rPr>
          <w:rFonts w:ascii="David" w:hAnsi="David" w:cs="David" w:hint="cs"/>
          <w:sz w:val="28"/>
          <w:szCs w:val="28"/>
          <w:rtl/>
        </w:rPr>
        <w:t xml:space="preserve">, ים המלח </w:t>
      </w:r>
      <w:r w:rsidR="0033697E">
        <w:rPr>
          <w:rFonts w:ascii="David" w:hAnsi="David" w:cs="David"/>
          <w:sz w:val="28"/>
          <w:szCs w:val="28"/>
          <w:rtl/>
        </w:rPr>
        <w:t>–</w:t>
      </w:r>
      <w:r w:rsidR="0033697E">
        <w:rPr>
          <w:rFonts w:ascii="David" w:hAnsi="David" w:cs="David" w:hint="cs"/>
          <w:sz w:val="28"/>
          <w:szCs w:val="28"/>
          <w:rtl/>
        </w:rPr>
        <w:t xml:space="preserve"> ירידה של </w:t>
      </w:r>
      <w:r>
        <w:rPr>
          <w:rFonts w:ascii="David" w:hAnsi="David" w:cs="David" w:hint="cs"/>
          <w:sz w:val="28"/>
          <w:szCs w:val="28"/>
          <w:rtl/>
        </w:rPr>
        <w:t>40</w:t>
      </w:r>
      <w:r w:rsidR="0033697E">
        <w:rPr>
          <w:rFonts w:ascii="David" w:hAnsi="David" w:cs="David" w:hint="cs"/>
          <w:sz w:val="28"/>
          <w:szCs w:val="28"/>
          <w:rtl/>
        </w:rPr>
        <w:t xml:space="preserve">%, </w:t>
      </w:r>
      <w:r>
        <w:rPr>
          <w:rFonts w:ascii="David" w:hAnsi="David" w:cs="David" w:hint="cs"/>
          <w:sz w:val="28"/>
          <w:szCs w:val="28"/>
          <w:rtl/>
        </w:rPr>
        <w:t xml:space="preserve">נתניה -39%, טבריה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35%, סובב כנרת 33%. לעומתן, העיר היחידה שמראה קצב התאוששות מהיר יחסית היא תל אביב שבה מספר לינות התיירים היה נמוך רק ב-9% מ-2019. </w:t>
      </w:r>
    </w:p>
    <w:p w14:paraId="2EC3CD7C" w14:textId="77777777" w:rsidR="008B379F" w:rsidRPr="00273EFD" w:rsidRDefault="008B379F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1B156601" w14:textId="4549014F" w:rsidR="008B379F" w:rsidRPr="00273EFD" w:rsidRDefault="008B379F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>:</w:t>
      </w:r>
      <w:r w:rsidR="00DD10F5">
        <w:rPr>
          <w:rFonts w:ascii="David" w:hAnsi="David" w:cs="David" w:hint="cs"/>
          <w:sz w:val="28"/>
          <w:szCs w:val="28"/>
          <w:rtl/>
        </w:rPr>
        <w:t xml:space="preserve"> בינואר נמשכת מגמת העלי</w:t>
      </w:r>
      <w:r w:rsidR="0033697E">
        <w:rPr>
          <w:rFonts w:ascii="David" w:hAnsi="David" w:cs="David" w:hint="cs"/>
          <w:sz w:val="28"/>
          <w:szCs w:val="28"/>
          <w:rtl/>
        </w:rPr>
        <w:t>י</w:t>
      </w:r>
      <w:r w:rsidR="00DD10F5">
        <w:rPr>
          <w:rFonts w:ascii="David" w:hAnsi="David" w:cs="David" w:hint="cs"/>
          <w:sz w:val="28"/>
          <w:szCs w:val="28"/>
          <w:rtl/>
        </w:rPr>
        <w:t xml:space="preserve">ה בתיירות הפנים. עליה של 19% לעומת ינואר 2022 (תקופת האומיקרון), עליה של </w:t>
      </w:r>
      <w:r w:rsidR="00B51527">
        <w:rPr>
          <w:rFonts w:ascii="David" w:hAnsi="David" w:cs="David" w:hint="cs"/>
          <w:sz w:val="28"/>
          <w:szCs w:val="28"/>
          <w:rtl/>
        </w:rPr>
        <w:t>17</w:t>
      </w:r>
      <w:r w:rsidR="00DD10F5">
        <w:rPr>
          <w:rFonts w:ascii="David" w:hAnsi="David" w:cs="David" w:hint="cs"/>
          <w:sz w:val="28"/>
          <w:szCs w:val="28"/>
          <w:rtl/>
        </w:rPr>
        <w:t xml:space="preserve">% לעומת ינואר 2019. </w:t>
      </w:r>
    </w:p>
    <w:p w14:paraId="6753814C" w14:textId="77777777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9942F82" w14:textId="2095B0CC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הסתכמו </w:t>
      </w:r>
      <w:proofErr w:type="spellStart"/>
      <w:r w:rsidRPr="00273EFD">
        <w:rPr>
          <w:rFonts w:ascii="David" w:hAnsi="David" w:cs="David"/>
          <w:sz w:val="28"/>
          <w:szCs w:val="28"/>
          <w:rtl/>
        </w:rPr>
        <w:t>בכ</w:t>
      </w:r>
      <w:proofErr w:type="spellEnd"/>
      <w:r w:rsidRPr="00273EFD">
        <w:rPr>
          <w:rFonts w:ascii="David" w:hAnsi="David" w:cs="David"/>
          <w:sz w:val="28"/>
          <w:szCs w:val="28"/>
          <w:rtl/>
        </w:rPr>
        <w:t xml:space="preserve"> -</w:t>
      </w:r>
      <w:r w:rsidR="00D81403">
        <w:rPr>
          <w:rFonts w:ascii="David" w:hAnsi="David" w:cs="David" w:hint="cs"/>
          <w:sz w:val="28"/>
          <w:szCs w:val="28"/>
          <w:rtl/>
        </w:rPr>
        <w:t>1.</w:t>
      </w:r>
      <w:r w:rsidR="00DD10F5">
        <w:rPr>
          <w:rFonts w:ascii="David" w:hAnsi="David" w:cs="David" w:hint="cs"/>
          <w:sz w:val="28"/>
          <w:szCs w:val="28"/>
          <w:rtl/>
        </w:rPr>
        <w:t>5</w:t>
      </w:r>
      <w:r w:rsidR="00D81403">
        <w:rPr>
          <w:rFonts w:ascii="David" w:hAnsi="David" w:cs="David" w:hint="cs"/>
          <w:sz w:val="28"/>
          <w:szCs w:val="28"/>
          <w:rtl/>
        </w:rPr>
        <w:t xml:space="preserve"> </w:t>
      </w:r>
      <w:r w:rsidR="00273EFD">
        <w:rPr>
          <w:rFonts w:ascii="David" w:hAnsi="David" w:cs="David"/>
          <w:sz w:val="28"/>
          <w:szCs w:val="28"/>
          <w:rtl/>
        </w:rPr>
        <w:t>מיליון</w:t>
      </w:r>
      <w:r w:rsidRPr="00273EFD">
        <w:rPr>
          <w:rFonts w:ascii="David" w:hAnsi="David" w:cs="David"/>
          <w:sz w:val="28"/>
          <w:szCs w:val="28"/>
          <w:rtl/>
        </w:rPr>
        <w:t xml:space="preserve"> - ירידה של </w:t>
      </w:r>
      <w:r w:rsidR="00DD10F5">
        <w:rPr>
          <w:rFonts w:ascii="David" w:hAnsi="David" w:cs="David" w:hint="cs"/>
          <w:sz w:val="28"/>
          <w:szCs w:val="28"/>
          <w:rtl/>
        </w:rPr>
        <w:t>4</w:t>
      </w:r>
      <w:r w:rsidR="00D81403">
        <w:rPr>
          <w:rFonts w:ascii="David" w:hAnsi="David" w:cs="David" w:hint="cs"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 לעומת </w:t>
      </w:r>
      <w:r w:rsidR="00DD10F5">
        <w:rPr>
          <w:rFonts w:ascii="David" w:hAnsi="David" w:cs="David" w:hint="cs"/>
          <w:sz w:val="28"/>
          <w:szCs w:val="28"/>
          <w:rtl/>
        </w:rPr>
        <w:t xml:space="preserve">ינואר </w:t>
      </w:r>
      <w:r w:rsidRPr="00273EFD">
        <w:rPr>
          <w:rFonts w:ascii="David" w:hAnsi="David" w:cs="David"/>
          <w:sz w:val="28"/>
          <w:szCs w:val="28"/>
          <w:rtl/>
        </w:rPr>
        <w:t xml:space="preserve"> 2019. </w:t>
      </w:r>
    </w:p>
    <w:p w14:paraId="1B5E0176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5BC52759" w14:textId="24FE8CF1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>הסתכמה בכ-</w:t>
      </w:r>
      <w:r w:rsidR="00DD10F5">
        <w:rPr>
          <w:rFonts w:ascii="David" w:hAnsi="David" w:cs="David" w:hint="cs"/>
          <w:sz w:val="28"/>
          <w:szCs w:val="28"/>
          <w:rtl/>
        </w:rPr>
        <w:t>51</w:t>
      </w:r>
      <w:r w:rsidR="00D81403">
        <w:rPr>
          <w:rFonts w:ascii="David" w:hAnsi="David" w:cs="David" w:hint="cs"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 </w:t>
      </w:r>
      <w:r w:rsidR="0033697E">
        <w:rPr>
          <w:rFonts w:ascii="David" w:hAnsi="David" w:cs="David" w:hint="cs"/>
          <w:sz w:val="28"/>
          <w:szCs w:val="28"/>
          <w:rtl/>
        </w:rPr>
        <w:t xml:space="preserve">בלבד </w:t>
      </w:r>
      <w:r w:rsidRPr="00273EFD">
        <w:rPr>
          <w:rFonts w:ascii="David" w:hAnsi="David" w:cs="David"/>
          <w:sz w:val="28"/>
          <w:szCs w:val="28"/>
          <w:rtl/>
        </w:rPr>
        <w:t>לעומת כ-</w:t>
      </w:r>
      <w:r w:rsidR="00DD10F5">
        <w:rPr>
          <w:rFonts w:ascii="David" w:hAnsi="David" w:cs="David" w:hint="cs"/>
          <w:sz w:val="28"/>
          <w:szCs w:val="28"/>
          <w:rtl/>
        </w:rPr>
        <w:t>29</w:t>
      </w:r>
      <w:r w:rsidRPr="00273EFD">
        <w:rPr>
          <w:rFonts w:ascii="David" w:hAnsi="David" w:cs="David"/>
          <w:sz w:val="28"/>
          <w:szCs w:val="28"/>
          <w:rtl/>
        </w:rPr>
        <w:t xml:space="preserve">% </w:t>
      </w:r>
      <w:r w:rsidR="00DD10F5">
        <w:rPr>
          <w:rFonts w:ascii="David" w:hAnsi="David" w:cs="David" w:hint="cs"/>
          <w:sz w:val="28"/>
          <w:szCs w:val="28"/>
          <w:rtl/>
        </w:rPr>
        <w:t>בינואר 2022 (אומיקרון)</w:t>
      </w:r>
      <w:r w:rsidRPr="00273EFD">
        <w:rPr>
          <w:rFonts w:ascii="David" w:hAnsi="David" w:cs="David"/>
          <w:sz w:val="28"/>
          <w:szCs w:val="28"/>
          <w:rtl/>
        </w:rPr>
        <w:t xml:space="preserve"> ו-</w:t>
      </w:r>
      <w:r w:rsidR="00DD10F5">
        <w:rPr>
          <w:rFonts w:ascii="David" w:hAnsi="David" w:cs="David" w:hint="cs"/>
          <w:sz w:val="28"/>
          <w:szCs w:val="28"/>
          <w:rtl/>
        </w:rPr>
        <w:t>56</w:t>
      </w:r>
      <w:r w:rsidRPr="00273EFD">
        <w:rPr>
          <w:rFonts w:ascii="David" w:hAnsi="David" w:cs="David"/>
          <w:sz w:val="28"/>
          <w:szCs w:val="28"/>
          <w:rtl/>
        </w:rPr>
        <w:t xml:space="preserve">% </w:t>
      </w:r>
      <w:r w:rsidR="00DD10F5">
        <w:rPr>
          <w:rFonts w:ascii="David" w:hAnsi="David" w:cs="David" w:hint="cs"/>
          <w:sz w:val="28"/>
          <w:szCs w:val="28"/>
          <w:rtl/>
        </w:rPr>
        <w:t xml:space="preserve">בינואר 2019.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415990FB" w14:textId="1CC415DC" w:rsidR="00A57288" w:rsidRPr="00273EFD" w:rsidRDefault="00A57288" w:rsidP="00DD10F5">
      <w:pPr>
        <w:bidi/>
        <w:rPr>
          <w:rFonts w:ascii="David" w:hAnsi="David" w:cs="David"/>
          <w:sz w:val="28"/>
          <w:szCs w:val="28"/>
        </w:rPr>
      </w:pPr>
      <w:r w:rsidRPr="00273EFD">
        <w:rPr>
          <w:rFonts w:ascii="David" w:hAnsi="David" w:cs="David"/>
          <w:sz w:val="28"/>
          <w:szCs w:val="28"/>
          <w:rtl/>
        </w:rPr>
        <w:t xml:space="preserve">התפוסות </w:t>
      </w:r>
      <w:r w:rsidR="00B51527">
        <w:rPr>
          <w:rFonts w:ascii="David" w:hAnsi="David" w:cs="David" w:hint="cs"/>
          <w:sz w:val="28"/>
          <w:szCs w:val="28"/>
          <w:rtl/>
        </w:rPr>
        <w:t>גבוהות מהממוצע הארצי</w:t>
      </w:r>
      <w:r w:rsidRPr="00273EFD">
        <w:rPr>
          <w:rFonts w:ascii="David" w:hAnsi="David" w:cs="David"/>
          <w:sz w:val="28"/>
          <w:szCs w:val="28"/>
          <w:rtl/>
        </w:rPr>
        <w:t xml:space="preserve"> נרשמו ב</w:t>
      </w:r>
      <w:r w:rsidR="00DD10F5">
        <w:rPr>
          <w:rFonts w:ascii="David" w:hAnsi="David" w:cs="David" w:hint="cs"/>
          <w:sz w:val="28"/>
          <w:szCs w:val="28"/>
          <w:rtl/>
        </w:rPr>
        <w:t xml:space="preserve">הרצליה כ-61%, אילת כ-59%, ת"א וים המלח כ-55% תפוסה. </w:t>
      </w:r>
      <w:r w:rsidR="00DD10F5">
        <w:rPr>
          <w:rFonts w:ascii="David" w:hAnsi="David" w:cs="David"/>
          <w:sz w:val="28"/>
          <w:szCs w:val="28"/>
          <w:rtl/>
        </w:rPr>
        <w:br/>
      </w:r>
      <w:r w:rsidR="00DD10F5">
        <w:rPr>
          <w:rFonts w:ascii="David" w:hAnsi="David" w:cs="David" w:hint="cs"/>
          <w:sz w:val="28"/>
          <w:szCs w:val="28"/>
          <w:rtl/>
        </w:rPr>
        <w:t xml:space="preserve">בירושלים נרשמה תפוסה של 51%, בטבריה ובנתניה נרשמה תפוסה של כ-42% כל אחת, בחיפה כ-40% ובנצרת כ-30%.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42C6B5BF" w14:textId="046E086F" w:rsidR="008B379F" w:rsidRPr="00A57288" w:rsidRDefault="008B379F" w:rsidP="00A5728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CE1C786" w14:textId="7B0E14E1" w:rsidR="008B379F" w:rsidRPr="009E64B5" w:rsidRDefault="008B379F" w:rsidP="008B379F">
      <w:pPr>
        <w:bidi/>
        <w:jc w:val="both"/>
        <w:rPr>
          <w:rFonts w:ascii="David" w:hAnsi="David" w:cs="David"/>
          <w:sz w:val="28"/>
          <w:szCs w:val="28"/>
          <w:rtl/>
        </w:rPr>
      </w:pPr>
    </w:p>
    <w:p w14:paraId="484D25B5" w14:textId="625D3EBE" w:rsidR="00AC1CD8" w:rsidRDefault="00FF0143" w:rsidP="00954314">
      <w:pPr>
        <w:shd w:val="clear" w:color="auto" w:fill="FFFFFF" w:themeFill="background1"/>
        <w:bidi/>
        <w:jc w:val="both"/>
        <w:rPr>
          <w:rFonts w:ascii="David" w:hAnsi="David" w:cs="David"/>
          <w:sz w:val="28"/>
          <w:szCs w:val="28"/>
          <w:rtl/>
        </w:rPr>
      </w:pPr>
      <w:r w:rsidRPr="009E64B5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9E64B5">
        <w:rPr>
          <w:rFonts w:ascii="David" w:hAnsi="David" w:cs="David"/>
          <w:b/>
          <w:bCs/>
          <w:sz w:val="28"/>
          <w:szCs w:val="28"/>
          <w:rtl/>
        </w:rPr>
        <w:t>:</w:t>
      </w:r>
      <w:r w:rsidR="00AC1CD8">
        <w:rPr>
          <w:rFonts w:ascii="David" w:hAnsi="David" w:cs="David" w:hint="cs"/>
          <w:b/>
          <w:bCs/>
          <w:sz w:val="28"/>
          <w:szCs w:val="28"/>
          <w:rtl/>
        </w:rPr>
        <w:t xml:space="preserve"> "</w:t>
      </w:r>
      <w:r w:rsidR="00B56132">
        <w:rPr>
          <w:rFonts w:ascii="David" w:hAnsi="David" w:cs="David" w:hint="cs"/>
          <w:sz w:val="28"/>
          <w:szCs w:val="28"/>
          <w:rtl/>
        </w:rPr>
        <w:t>הנתונים הקשים של ינואר</w:t>
      </w:r>
      <w:r w:rsidR="00954314">
        <w:rPr>
          <w:rFonts w:ascii="David" w:hAnsi="David" w:cs="David" w:hint="cs"/>
          <w:sz w:val="28"/>
          <w:szCs w:val="28"/>
          <w:rtl/>
        </w:rPr>
        <w:t xml:space="preserve"> 2023</w:t>
      </w:r>
      <w:r w:rsidR="00B56132">
        <w:rPr>
          <w:rFonts w:ascii="David" w:hAnsi="David" w:cs="David" w:hint="cs"/>
          <w:sz w:val="28"/>
          <w:szCs w:val="28"/>
          <w:rtl/>
        </w:rPr>
        <w:t>, עלולים לצבוע גם את פברואר ב</w:t>
      </w:r>
      <w:r w:rsidR="00954314">
        <w:rPr>
          <w:rFonts w:ascii="David" w:hAnsi="David" w:cs="David" w:hint="cs"/>
          <w:sz w:val="28"/>
          <w:szCs w:val="28"/>
          <w:rtl/>
        </w:rPr>
        <w:t>שחור</w:t>
      </w:r>
      <w:r w:rsidR="00B56132">
        <w:rPr>
          <w:rFonts w:ascii="David" w:hAnsi="David" w:cs="David" w:hint="cs"/>
          <w:sz w:val="28"/>
          <w:szCs w:val="28"/>
          <w:rtl/>
        </w:rPr>
        <w:t>, על רקע אי הודאות שיצר אישור הממשלה לגזירת הטלת המע"מ על התיירים. המשמעות היא ייקור החבילות לתיירים ב-17% במדינה שממילא נחשבת ליקרה בין המדינות ומתקשה להתמודד עם התחרות מול המדינות באגן הים התיכון. מדובר במכה נוספת לענף שטרם התאושש מהקורונה ועלולה להיות מכה בלתי הפיכה לתיירות</w:t>
      </w:r>
      <w:r w:rsidR="00954314">
        <w:rPr>
          <w:rFonts w:ascii="David" w:hAnsi="David" w:cs="David" w:hint="cs"/>
          <w:sz w:val="28"/>
          <w:szCs w:val="28"/>
          <w:rtl/>
        </w:rPr>
        <w:t>, לעשרות אלפים מועסקים בענף</w:t>
      </w:r>
      <w:r w:rsidR="00B56132">
        <w:rPr>
          <w:rFonts w:ascii="David" w:hAnsi="David" w:cs="David" w:hint="cs"/>
          <w:sz w:val="28"/>
          <w:szCs w:val="28"/>
          <w:rtl/>
        </w:rPr>
        <w:t xml:space="preserve"> </w:t>
      </w:r>
      <w:r w:rsidR="00954314">
        <w:rPr>
          <w:rFonts w:ascii="David" w:hAnsi="David" w:cs="David" w:hint="cs"/>
          <w:sz w:val="28"/>
          <w:szCs w:val="28"/>
          <w:rtl/>
        </w:rPr>
        <w:t>ולתדמיתה של מדינת ישראל בעולם. לא ניתן יד להרס הענף ונאבק בהחלטה המעוותת הזו עד הס</w:t>
      </w:r>
      <w:r w:rsidR="00B51527">
        <w:rPr>
          <w:rFonts w:ascii="David" w:hAnsi="David" w:cs="David" w:hint="cs"/>
          <w:sz w:val="28"/>
          <w:szCs w:val="28"/>
          <w:rtl/>
        </w:rPr>
        <w:t>ו</w:t>
      </w:r>
      <w:r w:rsidR="00954314">
        <w:rPr>
          <w:rFonts w:ascii="David" w:hAnsi="David" w:cs="David" w:hint="cs"/>
          <w:sz w:val="28"/>
          <w:szCs w:val="28"/>
          <w:rtl/>
        </w:rPr>
        <w:t xml:space="preserve">ף". </w:t>
      </w:r>
    </w:p>
    <w:p w14:paraId="04108D8B" w14:textId="77777777" w:rsidR="00D81403" w:rsidRPr="0032420E" w:rsidRDefault="00D81403" w:rsidP="00D81403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199B5F85" w14:textId="77777777" w:rsidR="000B5EF1" w:rsidRPr="0032420E" w:rsidRDefault="000B5EF1" w:rsidP="00FE44C0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3A43D3C2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>* מצורפת טבלה מסודרת המציגה את כל הנתונים.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Footer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98196">
    <w:abstractNumId w:val="9"/>
  </w:num>
  <w:num w:numId="2" w16cid:durableId="639462603">
    <w:abstractNumId w:val="7"/>
  </w:num>
  <w:num w:numId="3" w16cid:durableId="1973292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88216">
    <w:abstractNumId w:val="6"/>
  </w:num>
  <w:num w:numId="5" w16cid:durableId="507140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974262">
    <w:abstractNumId w:val="10"/>
  </w:num>
  <w:num w:numId="7" w16cid:durableId="1373458067">
    <w:abstractNumId w:val="14"/>
  </w:num>
  <w:num w:numId="8" w16cid:durableId="473260949">
    <w:abstractNumId w:val="16"/>
  </w:num>
  <w:num w:numId="9" w16cid:durableId="493450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207444">
    <w:abstractNumId w:val="12"/>
  </w:num>
  <w:num w:numId="11" w16cid:durableId="1148548204">
    <w:abstractNumId w:val="17"/>
  </w:num>
  <w:num w:numId="12" w16cid:durableId="355035680">
    <w:abstractNumId w:val="3"/>
  </w:num>
  <w:num w:numId="13" w16cid:durableId="1843274989">
    <w:abstractNumId w:val="8"/>
  </w:num>
  <w:num w:numId="14" w16cid:durableId="1195272002">
    <w:abstractNumId w:val="2"/>
  </w:num>
  <w:num w:numId="15" w16cid:durableId="1403217860">
    <w:abstractNumId w:val="5"/>
  </w:num>
  <w:num w:numId="16" w16cid:durableId="1992130535">
    <w:abstractNumId w:val="11"/>
  </w:num>
  <w:num w:numId="17" w16cid:durableId="515072922">
    <w:abstractNumId w:val="1"/>
  </w:num>
  <w:num w:numId="18" w16cid:durableId="1028684041">
    <w:abstractNumId w:val="4"/>
  </w:num>
  <w:num w:numId="19" w16cid:durableId="201287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61AA"/>
    <w:rsid w:val="00047B7B"/>
    <w:rsid w:val="000609EF"/>
    <w:rsid w:val="0007463E"/>
    <w:rsid w:val="00074A2E"/>
    <w:rsid w:val="00076BE7"/>
    <w:rsid w:val="00081806"/>
    <w:rsid w:val="00082C86"/>
    <w:rsid w:val="000837F0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4244F"/>
    <w:rsid w:val="00143432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3F5B"/>
    <w:rsid w:val="00256A9B"/>
    <w:rsid w:val="00264164"/>
    <w:rsid w:val="00273EFD"/>
    <w:rsid w:val="002743E6"/>
    <w:rsid w:val="002A191C"/>
    <w:rsid w:val="002B3178"/>
    <w:rsid w:val="002B41DB"/>
    <w:rsid w:val="002B4AEC"/>
    <w:rsid w:val="002E33F4"/>
    <w:rsid w:val="002F282A"/>
    <w:rsid w:val="002F2B1F"/>
    <w:rsid w:val="002F31A4"/>
    <w:rsid w:val="0030356C"/>
    <w:rsid w:val="00321DCD"/>
    <w:rsid w:val="0032420E"/>
    <w:rsid w:val="0033697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632E6"/>
    <w:rsid w:val="00473286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E3DE0"/>
    <w:rsid w:val="00600CB2"/>
    <w:rsid w:val="0060430D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134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7E4804"/>
    <w:rsid w:val="007E53B6"/>
    <w:rsid w:val="007E5C9F"/>
    <w:rsid w:val="007F7910"/>
    <w:rsid w:val="0080069E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792A"/>
    <w:rsid w:val="008A722D"/>
    <w:rsid w:val="008A7BB0"/>
    <w:rsid w:val="008B379F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052AC"/>
    <w:rsid w:val="00910EA0"/>
    <w:rsid w:val="009453E1"/>
    <w:rsid w:val="0095047D"/>
    <w:rsid w:val="009530A0"/>
    <w:rsid w:val="00954314"/>
    <w:rsid w:val="009648D7"/>
    <w:rsid w:val="00983589"/>
    <w:rsid w:val="00984115"/>
    <w:rsid w:val="009A0CE7"/>
    <w:rsid w:val="009A27FF"/>
    <w:rsid w:val="009A6AFC"/>
    <w:rsid w:val="009A77AA"/>
    <w:rsid w:val="009B5505"/>
    <w:rsid w:val="009B7E9A"/>
    <w:rsid w:val="009C7A6F"/>
    <w:rsid w:val="009D69B0"/>
    <w:rsid w:val="009D7FFC"/>
    <w:rsid w:val="009E64B5"/>
    <w:rsid w:val="009F3C3C"/>
    <w:rsid w:val="009F424E"/>
    <w:rsid w:val="009F6350"/>
    <w:rsid w:val="009F6F79"/>
    <w:rsid w:val="00A000D0"/>
    <w:rsid w:val="00A0448B"/>
    <w:rsid w:val="00A30BDA"/>
    <w:rsid w:val="00A40353"/>
    <w:rsid w:val="00A44C9C"/>
    <w:rsid w:val="00A50A9C"/>
    <w:rsid w:val="00A52153"/>
    <w:rsid w:val="00A5268D"/>
    <w:rsid w:val="00A57288"/>
    <w:rsid w:val="00A63B7D"/>
    <w:rsid w:val="00A71AC9"/>
    <w:rsid w:val="00A7730F"/>
    <w:rsid w:val="00A875E4"/>
    <w:rsid w:val="00A876AA"/>
    <w:rsid w:val="00AA181A"/>
    <w:rsid w:val="00AA749D"/>
    <w:rsid w:val="00AB18D4"/>
    <w:rsid w:val="00AB3ACD"/>
    <w:rsid w:val="00AB69D5"/>
    <w:rsid w:val="00AC1CD8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1527"/>
    <w:rsid w:val="00B53F01"/>
    <w:rsid w:val="00B54827"/>
    <w:rsid w:val="00B56132"/>
    <w:rsid w:val="00B62E0F"/>
    <w:rsid w:val="00B86152"/>
    <w:rsid w:val="00B86399"/>
    <w:rsid w:val="00B878FD"/>
    <w:rsid w:val="00B87C6E"/>
    <w:rsid w:val="00B90BBD"/>
    <w:rsid w:val="00B9195A"/>
    <w:rsid w:val="00BA19A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B442E"/>
    <w:rsid w:val="00CE595D"/>
    <w:rsid w:val="00CE6797"/>
    <w:rsid w:val="00CE788D"/>
    <w:rsid w:val="00CF74C2"/>
    <w:rsid w:val="00D05755"/>
    <w:rsid w:val="00D14BAD"/>
    <w:rsid w:val="00D155BC"/>
    <w:rsid w:val="00D16AB6"/>
    <w:rsid w:val="00D36215"/>
    <w:rsid w:val="00D366B6"/>
    <w:rsid w:val="00D36EF6"/>
    <w:rsid w:val="00D57A1D"/>
    <w:rsid w:val="00D634BB"/>
    <w:rsid w:val="00D673EB"/>
    <w:rsid w:val="00D77DFB"/>
    <w:rsid w:val="00D81403"/>
    <w:rsid w:val="00D83EF7"/>
    <w:rsid w:val="00D840DE"/>
    <w:rsid w:val="00D91E19"/>
    <w:rsid w:val="00D94ADA"/>
    <w:rsid w:val="00D94BEA"/>
    <w:rsid w:val="00DA1185"/>
    <w:rsid w:val="00DB5C8B"/>
    <w:rsid w:val="00DC34E2"/>
    <w:rsid w:val="00DD10F5"/>
    <w:rsid w:val="00DD7E80"/>
    <w:rsid w:val="00DE1B84"/>
    <w:rsid w:val="00DE2580"/>
    <w:rsid w:val="00DE2D34"/>
    <w:rsid w:val="00DF0EE5"/>
    <w:rsid w:val="00DF30E4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D1290"/>
    <w:rsid w:val="00EE06BE"/>
    <w:rsid w:val="00EE1595"/>
    <w:rsid w:val="00EE2B03"/>
    <w:rsid w:val="00EF78C3"/>
    <w:rsid w:val="00F2417B"/>
    <w:rsid w:val="00F61CB2"/>
    <w:rsid w:val="00F779C5"/>
    <w:rsid w:val="00F846C9"/>
    <w:rsid w:val="00FA7D42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9"/>
  </w:style>
  <w:style w:type="paragraph" w:styleId="Footer">
    <w:name w:val="footer"/>
    <w:basedOn w:val="Normal"/>
    <w:link w:val="Foot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9"/>
  </w:style>
  <w:style w:type="paragraph" w:styleId="BalloonText">
    <w:name w:val="Balloon Text"/>
    <w:basedOn w:val="Normal"/>
    <w:link w:val="BalloonTextChar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0A0"/>
    <w:pPr>
      <w:bidi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DE57-BEC1-410F-A847-A4D4883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1446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2</cp:revision>
  <cp:lastPrinted>2019-08-21T06:39:00Z</cp:lastPrinted>
  <dcterms:created xsi:type="dcterms:W3CDTF">2023-02-27T08:50:00Z</dcterms:created>
  <dcterms:modified xsi:type="dcterms:W3CDTF">2023-02-27T08:50:00Z</dcterms:modified>
</cp:coreProperties>
</file>