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5304" w14:textId="37256D51" w:rsidR="008E07FC" w:rsidRPr="008E07FC" w:rsidRDefault="00744AAA" w:rsidP="00CB442E">
      <w:pPr>
        <w:bidi/>
        <w:ind w:left="-283" w:right="-170"/>
        <w:jc w:val="right"/>
        <w:rPr>
          <w:rFonts w:ascii="David" w:hAnsi="David" w:cs="David"/>
        </w:rPr>
      </w:pPr>
      <w:r>
        <w:rPr>
          <w:rFonts w:ascii="David" w:hAnsi="David" w:cs="David" w:hint="cs"/>
          <w:rtl/>
        </w:rPr>
        <w:t>24/8/22</w:t>
      </w:r>
    </w:p>
    <w:p w14:paraId="75A495D8" w14:textId="541E66BC" w:rsidR="001B20BF" w:rsidRPr="00CB442E" w:rsidRDefault="009F6F79" w:rsidP="00CB442E">
      <w:pPr>
        <w:bidi/>
        <w:ind w:left="-283" w:right="-170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CB442E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בעזרת רוח גבית </w:t>
      </w:r>
      <w:r w:rsidR="00383833" w:rsidRPr="00CB442E">
        <w:rPr>
          <w:rFonts w:ascii="David" w:hAnsi="David" w:cs="David" w:hint="cs"/>
          <w:b/>
          <w:bCs/>
          <w:sz w:val="36"/>
          <w:szCs w:val="36"/>
          <w:u w:val="single"/>
          <w:rtl/>
        </w:rPr>
        <w:t>מ</w:t>
      </w:r>
      <w:r w:rsidRPr="00CB442E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המכביה: לראשונה מאז מגפת הקורונה עבר מספר הלינות במלונות ביולי 2022 את יולי 2019. </w:t>
      </w:r>
    </w:p>
    <w:p w14:paraId="2B0F0543" w14:textId="77777777" w:rsidR="00D05755" w:rsidRDefault="00D05755" w:rsidP="00CB442E">
      <w:pPr>
        <w:bidi/>
        <w:ind w:left="-284" w:right="-170"/>
        <w:jc w:val="center"/>
        <w:rPr>
          <w:rFonts w:ascii="David" w:hAnsi="David" w:cs="David" w:hint="cs"/>
          <w:b/>
          <w:bCs/>
          <w:sz w:val="40"/>
          <w:szCs w:val="40"/>
          <w:rtl/>
        </w:rPr>
      </w:pPr>
    </w:p>
    <w:p w14:paraId="594858E6" w14:textId="77777777" w:rsidR="00D05755" w:rsidRPr="00CB442E" w:rsidRDefault="00D05755" w:rsidP="00CB442E">
      <w:pPr>
        <w:bidi/>
        <w:ind w:left="-284" w:right="-17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B442E">
        <w:rPr>
          <w:rFonts w:ascii="David" w:hAnsi="David" w:cs="David" w:hint="cs"/>
          <w:b/>
          <w:bCs/>
          <w:sz w:val="28"/>
          <w:szCs w:val="28"/>
          <w:u w:val="single"/>
          <w:rtl/>
        </w:rPr>
        <w:t>שיעור התפוסות במלונות הגיע ל-72% והדביק את הפער מול יולי 2019</w:t>
      </w:r>
    </w:p>
    <w:p w14:paraId="404708D4" w14:textId="4A988C3A" w:rsidR="009F6F79" w:rsidRPr="00CB442E" w:rsidRDefault="00D05755" w:rsidP="00CB442E">
      <w:pPr>
        <w:bidi/>
        <w:ind w:left="-284" w:right="-17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B442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2DB2E1EA" w14:textId="09C606E0" w:rsidR="00531D74" w:rsidRPr="00CB442E" w:rsidRDefault="009F6F79" w:rsidP="00CB442E">
      <w:pPr>
        <w:bidi/>
        <w:ind w:left="-284" w:right="-17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B442E">
        <w:rPr>
          <w:rFonts w:ascii="David" w:hAnsi="David" w:cs="David" w:hint="cs"/>
          <w:b/>
          <w:bCs/>
          <w:sz w:val="28"/>
          <w:szCs w:val="28"/>
          <w:u w:val="single"/>
          <w:rtl/>
        </w:rPr>
        <w:t>הפער בלינות התיירים בתקופה זו אל מול יולי 2019 הצטמצם משמעותית לירידה של 9% בלבד</w:t>
      </w:r>
    </w:p>
    <w:p w14:paraId="17845DD4" w14:textId="77777777" w:rsidR="00CB442E" w:rsidRDefault="00CB442E" w:rsidP="00CB442E">
      <w:pPr>
        <w:bidi/>
        <w:ind w:left="-284" w:right="-17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C47E1E3" w14:textId="30E33566" w:rsidR="00354ECF" w:rsidRPr="00354ECF" w:rsidRDefault="00354ECF" w:rsidP="00CB442E">
      <w:pPr>
        <w:bidi/>
        <w:ind w:left="-284" w:right="-17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54EC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התאחדות המלונות :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"</w:t>
      </w:r>
      <w:r w:rsidRPr="00354ECF">
        <w:rPr>
          <w:rFonts w:ascii="David" w:hAnsi="David" w:cs="David" w:hint="cs"/>
          <w:b/>
          <w:bCs/>
          <w:sz w:val="28"/>
          <w:szCs w:val="28"/>
          <w:u w:val="single"/>
          <w:rtl/>
        </w:rPr>
        <w:t>אנחנו מאמינים שעם השקעה מסיבית בשיווק של ישראל בעולם, ברבעון האחרון של 2022, ניתן יהיה בשנה הבאה לעבור את שנת השיא של 2019 ולהגיע לגידול משמעותי במספר התיירים שיגיעו לישראל".</w:t>
      </w:r>
    </w:p>
    <w:p w14:paraId="0D02849D" w14:textId="5CB17BD5" w:rsidR="00354ECF" w:rsidRPr="00D05755" w:rsidRDefault="00354ECF" w:rsidP="00CB442E">
      <w:pPr>
        <w:bidi/>
        <w:ind w:left="-283" w:right="-17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461FDEA" w14:textId="77777777" w:rsidR="009F6F79" w:rsidRDefault="009F6F79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</w:p>
    <w:p w14:paraId="14B5E9AE" w14:textId="2D0C001C" w:rsidR="00DE2D34" w:rsidRDefault="00220890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בחודש</w:t>
      </w:r>
      <w:r w:rsidR="00AB69D5">
        <w:rPr>
          <w:rFonts w:ascii="David" w:hAnsi="David" w:cs="David" w:hint="cs"/>
          <w:b/>
          <w:bCs/>
          <w:sz w:val="24"/>
          <w:szCs w:val="24"/>
          <w:rtl/>
        </w:rPr>
        <w:t xml:space="preserve"> יו</w:t>
      </w:r>
      <w:r w:rsidR="00744AAA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AB69D5">
        <w:rPr>
          <w:rFonts w:ascii="David" w:hAnsi="David" w:cs="David" w:hint="cs"/>
          <w:b/>
          <w:bCs/>
          <w:sz w:val="24"/>
          <w:szCs w:val="24"/>
          <w:rtl/>
        </w:rPr>
        <w:t>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2022 המשיכה מגמת ההתאוששות בלינות התיירים שהחלה במרץ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44AAA">
        <w:rPr>
          <w:rFonts w:ascii="David" w:hAnsi="David" w:cs="David" w:hint="cs"/>
          <w:b/>
          <w:bCs/>
          <w:sz w:val="24"/>
          <w:szCs w:val="24"/>
          <w:rtl/>
        </w:rPr>
        <w:t xml:space="preserve">השנה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>לאחר שלראשונה הותר</w:t>
      </w:r>
      <w:r w:rsidR="00743748">
        <w:rPr>
          <w:rFonts w:ascii="David" w:hAnsi="David" w:cs="David"/>
          <w:b/>
          <w:bCs/>
          <w:sz w:val="24"/>
          <w:szCs w:val="24"/>
        </w:rPr>
        <w:t xml:space="preserve">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>לתיירים לא מחוסנים / מחלימים להיכנס לישראל</w:t>
      </w:r>
      <w:r w:rsidR="00216440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744AAA">
        <w:rPr>
          <w:rFonts w:ascii="David" w:hAnsi="David" w:cs="David" w:hint="cs"/>
          <w:b/>
          <w:bCs/>
          <w:sz w:val="24"/>
          <w:szCs w:val="24"/>
          <w:rtl/>
        </w:rPr>
        <w:t xml:space="preserve"> גם אירועי המכביה ש</w:t>
      </w:r>
      <w:r w:rsidR="00D05755">
        <w:rPr>
          <w:rFonts w:ascii="David" w:hAnsi="David" w:cs="David" w:hint="cs"/>
          <w:b/>
          <w:bCs/>
          <w:sz w:val="24"/>
          <w:szCs w:val="24"/>
          <w:rtl/>
        </w:rPr>
        <w:t>היו</w:t>
      </w:r>
      <w:r w:rsidR="00744AAA">
        <w:rPr>
          <w:rFonts w:ascii="David" w:hAnsi="David" w:cs="David" w:hint="cs"/>
          <w:b/>
          <w:bCs/>
          <w:sz w:val="24"/>
          <w:szCs w:val="24"/>
          <w:rtl/>
        </w:rPr>
        <w:t xml:space="preserve"> במהלך יולי תרמו להתאוששות</w:t>
      </w:r>
      <w:r w:rsidR="00D05755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744AAA">
        <w:rPr>
          <w:rFonts w:ascii="David" w:hAnsi="David" w:cs="David" w:hint="cs"/>
          <w:b/>
          <w:bCs/>
          <w:sz w:val="24"/>
          <w:szCs w:val="24"/>
          <w:rtl/>
        </w:rPr>
        <w:t xml:space="preserve"> כך שבסך לינות התיירים בארץ יש ירידה של 9% בהשוואה ליולי 2019 ( טרום משבר ה-קורונה). </w:t>
      </w:r>
    </w:p>
    <w:p w14:paraId="406CFE99" w14:textId="77777777" w:rsidR="00D05755" w:rsidRDefault="00D05755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</w:p>
    <w:p w14:paraId="419D1CB9" w14:textId="0A2028DB" w:rsidR="00B878FD" w:rsidRDefault="00C70897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בלינות הישראלים חלה ירידה  של 13% לעומת יולי אשתקד , </w:t>
      </w:r>
      <w:r w:rsidR="00D05755">
        <w:rPr>
          <w:rFonts w:ascii="David" w:hAnsi="David" w:cs="David" w:hint="cs"/>
          <w:sz w:val="24"/>
          <w:szCs w:val="24"/>
          <w:rtl/>
        </w:rPr>
        <w:t>ו-</w:t>
      </w:r>
      <w:r>
        <w:rPr>
          <w:rFonts w:ascii="David" w:hAnsi="David" w:cs="David" w:hint="cs"/>
          <w:sz w:val="24"/>
          <w:szCs w:val="24"/>
          <w:rtl/>
        </w:rPr>
        <w:t xml:space="preserve">גידול  של  6% </w:t>
      </w:r>
      <w:r w:rsidR="00D05755">
        <w:rPr>
          <w:rFonts w:ascii="David" w:hAnsi="David" w:cs="David" w:hint="cs"/>
          <w:sz w:val="24"/>
          <w:szCs w:val="24"/>
          <w:rtl/>
        </w:rPr>
        <w:t xml:space="preserve">לעומת </w:t>
      </w:r>
      <w:r>
        <w:rPr>
          <w:rFonts w:ascii="David" w:hAnsi="David" w:cs="David" w:hint="cs"/>
          <w:sz w:val="24"/>
          <w:szCs w:val="24"/>
          <w:rtl/>
        </w:rPr>
        <w:t>יולי 2019.</w:t>
      </w:r>
      <w:r w:rsidR="00CB442E">
        <w:rPr>
          <w:rFonts w:ascii="David" w:hAnsi="David" w:cs="David" w:hint="cs"/>
          <w:sz w:val="24"/>
          <w:szCs w:val="24"/>
          <w:rtl/>
        </w:rPr>
        <w:t xml:space="preserve"> </w:t>
      </w:r>
      <w:r w:rsidR="00883C04">
        <w:rPr>
          <w:rFonts w:ascii="David" w:hAnsi="David" w:cs="David" w:hint="cs"/>
          <w:sz w:val="24"/>
          <w:szCs w:val="24"/>
          <w:rtl/>
        </w:rPr>
        <w:t>סה"כ נרשמו ביו</w:t>
      </w:r>
      <w:r w:rsidR="00744AAA">
        <w:rPr>
          <w:rFonts w:ascii="David" w:hAnsi="David" w:cs="David" w:hint="cs"/>
          <w:sz w:val="24"/>
          <w:szCs w:val="24"/>
          <w:rtl/>
        </w:rPr>
        <w:t>לי</w:t>
      </w:r>
      <w:r w:rsidR="00883C04">
        <w:rPr>
          <w:rFonts w:ascii="David" w:hAnsi="David" w:cs="David" w:hint="cs"/>
          <w:sz w:val="24"/>
          <w:szCs w:val="24"/>
          <w:rtl/>
        </w:rPr>
        <w:t xml:space="preserve"> 2022, </w:t>
      </w:r>
      <w:r w:rsidR="009B7E9A" w:rsidRPr="001B10A5">
        <w:rPr>
          <w:rFonts w:ascii="David" w:hAnsi="David" w:cs="David"/>
          <w:sz w:val="24"/>
          <w:szCs w:val="24"/>
          <w:rtl/>
        </w:rPr>
        <w:t>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2.</w:t>
      </w:r>
      <w:r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B7E9A" w:rsidRPr="001B10A5">
        <w:rPr>
          <w:rFonts w:ascii="David" w:hAnsi="David" w:cs="David"/>
          <w:sz w:val="24"/>
          <w:szCs w:val="24"/>
          <w:rtl/>
        </w:rPr>
        <w:t>לינות</w:t>
      </w:r>
      <w:r w:rsidR="007C0E75">
        <w:rPr>
          <w:rFonts w:ascii="David" w:hAnsi="David" w:cs="David" w:hint="cs"/>
          <w:sz w:val="24"/>
          <w:szCs w:val="24"/>
          <w:rtl/>
        </w:rPr>
        <w:t xml:space="preserve"> </w:t>
      </w:r>
      <w:r w:rsidR="00A71AC9">
        <w:rPr>
          <w:rFonts w:ascii="David" w:hAnsi="David" w:cs="David" w:hint="cs"/>
          <w:sz w:val="24"/>
          <w:szCs w:val="24"/>
          <w:rtl/>
        </w:rPr>
        <w:t xml:space="preserve">- </w:t>
      </w:r>
      <w:r>
        <w:rPr>
          <w:rFonts w:ascii="David" w:hAnsi="David" w:cs="David" w:hint="cs"/>
          <w:sz w:val="24"/>
          <w:szCs w:val="24"/>
          <w:rtl/>
        </w:rPr>
        <w:t>עליה</w:t>
      </w:r>
      <w:r w:rsidR="007C0E75">
        <w:rPr>
          <w:rFonts w:ascii="David" w:hAnsi="David" w:cs="David" w:hint="cs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7C0E75" w:rsidRPr="007C0E75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DE2580">
        <w:rPr>
          <w:rFonts w:ascii="David" w:hAnsi="David" w:cs="David" w:hint="cs"/>
          <w:sz w:val="24"/>
          <w:szCs w:val="24"/>
          <w:rtl/>
        </w:rPr>
        <w:t xml:space="preserve"> לעומת </w:t>
      </w:r>
      <w:r w:rsidR="00B86152">
        <w:rPr>
          <w:rFonts w:ascii="David" w:hAnsi="David" w:cs="David" w:hint="cs"/>
          <w:sz w:val="24"/>
          <w:szCs w:val="24"/>
          <w:rtl/>
        </w:rPr>
        <w:t>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>י</w:t>
      </w:r>
      <w:r w:rsidR="007C0E75">
        <w:rPr>
          <w:rFonts w:ascii="David" w:hAnsi="David" w:cs="David" w:hint="cs"/>
          <w:sz w:val="24"/>
          <w:szCs w:val="24"/>
          <w:rtl/>
        </w:rPr>
        <w:t xml:space="preserve"> 2019</w:t>
      </w:r>
      <w:r w:rsidR="009B7E9A" w:rsidRPr="001B10A5">
        <w:rPr>
          <w:rFonts w:ascii="David" w:hAnsi="David" w:cs="David"/>
          <w:sz w:val="24"/>
          <w:szCs w:val="24"/>
          <w:rtl/>
        </w:rPr>
        <w:t>, מתוכן כ-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>1.</w:t>
      </w:r>
      <w:r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0E75">
        <w:rPr>
          <w:rFonts w:ascii="David" w:hAnsi="David" w:cs="David"/>
          <w:sz w:val="24"/>
          <w:szCs w:val="24"/>
          <w:rtl/>
        </w:rPr>
        <w:t>לינות ישראלים</w:t>
      </w:r>
      <w:r w:rsidR="00B878FD">
        <w:rPr>
          <w:rFonts w:ascii="David" w:hAnsi="David" w:cs="David" w:hint="cs"/>
          <w:sz w:val="24"/>
          <w:szCs w:val="24"/>
          <w:rtl/>
        </w:rPr>
        <w:t xml:space="preserve">,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ירידה</w:t>
      </w:r>
      <w:r w:rsidR="00A71AC9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של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13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DE2580">
        <w:rPr>
          <w:rFonts w:ascii="David" w:hAnsi="David" w:cs="David" w:hint="cs"/>
          <w:b/>
          <w:bCs/>
          <w:sz w:val="24"/>
          <w:szCs w:val="24"/>
          <w:rtl/>
        </w:rPr>
        <w:t xml:space="preserve"> 2021 ועליה של </w:t>
      </w:r>
      <w:r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="00B878FD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7C0E75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7C0E75">
        <w:rPr>
          <w:rFonts w:ascii="David" w:hAnsi="David" w:cs="David" w:hint="cs"/>
          <w:sz w:val="24"/>
          <w:szCs w:val="24"/>
          <w:rtl/>
        </w:rPr>
        <w:t xml:space="preserve">. </w:t>
      </w:r>
      <w:r w:rsidR="00D840DE">
        <w:rPr>
          <w:rFonts w:ascii="David" w:hAnsi="David" w:cs="David" w:hint="cs"/>
          <w:sz w:val="24"/>
          <w:szCs w:val="24"/>
          <w:rtl/>
        </w:rPr>
        <w:t>לינות התיירים הסתכמו בכ-</w:t>
      </w:r>
      <w:r>
        <w:rPr>
          <w:rFonts w:ascii="David" w:hAnsi="David" w:cs="David" w:hint="cs"/>
          <w:b/>
          <w:bCs/>
          <w:sz w:val="24"/>
          <w:szCs w:val="24"/>
          <w:rtl/>
        </w:rPr>
        <w:t>792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אלף</w:t>
      </w:r>
      <w:r w:rsidR="00D840DE">
        <w:rPr>
          <w:rFonts w:ascii="David" w:hAnsi="David" w:cs="David" w:hint="cs"/>
          <w:sz w:val="24"/>
          <w:szCs w:val="24"/>
          <w:rtl/>
        </w:rPr>
        <w:t xml:space="preserve"> </w:t>
      </w:r>
      <w:r w:rsidR="00D840DE">
        <w:rPr>
          <w:rFonts w:ascii="David" w:hAnsi="David" w:cs="David"/>
          <w:sz w:val="24"/>
          <w:szCs w:val="24"/>
          <w:rtl/>
        </w:rPr>
        <w:t>–</w:t>
      </w:r>
      <w:r w:rsidR="00B878FD">
        <w:rPr>
          <w:rFonts w:ascii="David" w:hAnsi="David" w:cs="David" w:hint="cs"/>
          <w:sz w:val="24"/>
          <w:szCs w:val="24"/>
          <w:rtl/>
        </w:rPr>
        <w:t xml:space="preserve"> ירידה של </w:t>
      </w:r>
      <w:r w:rsidR="00B878FD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>עומת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יו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D840DE">
        <w:rPr>
          <w:rFonts w:ascii="David" w:hAnsi="David" w:cs="David" w:hint="cs"/>
          <w:sz w:val="24"/>
          <w:szCs w:val="24"/>
          <w:rtl/>
        </w:rPr>
        <w:t xml:space="preserve">. </w:t>
      </w:r>
      <w:r w:rsidR="004F7D2B" w:rsidRPr="001B10A5">
        <w:rPr>
          <w:rFonts w:ascii="David" w:hAnsi="David" w:cs="David"/>
          <w:sz w:val="24"/>
          <w:szCs w:val="24"/>
          <w:rtl/>
        </w:rPr>
        <w:t>התפוסה הארצית הממוצעת הסתכמה ב</w:t>
      </w:r>
      <w:r w:rsidR="007C0E75">
        <w:rPr>
          <w:rFonts w:ascii="David" w:hAnsi="David" w:cs="David" w:hint="cs"/>
          <w:sz w:val="24"/>
          <w:szCs w:val="24"/>
          <w:rtl/>
        </w:rPr>
        <w:t>כ</w:t>
      </w:r>
      <w:r w:rsidR="004F7D2B" w:rsidRPr="001B10A5">
        <w:rPr>
          <w:rFonts w:ascii="David" w:hAnsi="David" w:cs="David"/>
          <w:sz w:val="24"/>
          <w:szCs w:val="24"/>
          <w:rtl/>
        </w:rPr>
        <w:t>-</w:t>
      </w:r>
      <w:r>
        <w:rPr>
          <w:rFonts w:ascii="David" w:hAnsi="David" w:cs="David" w:hint="cs"/>
          <w:b/>
          <w:bCs/>
          <w:sz w:val="24"/>
          <w:szCs w:val="24"/>
          <w:rtl/>
        </w:rPr>
        <w:t>72</w:t>
      </w:r>
      <w:r w:rsidR="00D840DE" w:rsidRPr="001B10A5">
        <w:rPr>
          <w:rFonts w:ascii="David" w:hAnsi="David" w:cs="David"/>
          <w:b/>
          <w:bCs/>
          <w:sz w:val="24"/>
          <w:szCs w:val="24"/>
          <w:rtl/>
        </w:rPr>
        <w:t>%</w:t>
      </w:r>
      <w:r w:rsidR="00DF30E4">
        <w:rPr>
          <w:rFonts w:ascii="David" w:hAnsi="David" w:cs="David" w:hint="cs"/>
          <w:sz w:val="24"/>
          <w:szCs w:val="24"/>
          <w:rtl/>
        </w:rPr>
        <w:t xml:space="preserve"> </w:t>
      </w:r>
      <w:r w:rsidR="00B878FD">
        <w:rPr>
          <w:rFonts w:ascii="David" w:hAnsi="David" w:cs="David" w:hint="cs"/>
          <w:sz w:val="24"/>
          <w:szCs w:val="24"/>
          <w:rtl/>
        </w:rPr>
        <w:t>בהשוואה ל-</w:t>
      </w:r>
      <w:r>
        <w:rPr>
          <w:rFonts w:ascii="David" w:hAnsi="David" w:cs="David" w:hint="cs"/>
          <w:b/>
          <w:bCs/>
          <w:sz w:val="24"/>
          <w:szCs w:val="24"/>
          <w:rtl/>
        </w:rPr>
        <w:t>60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B878FD">
        <w:rPr>
          <w:rFonts w:ascii="David" w:hAnsi="David" w:cs="David" w:hint="cs"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ביו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2021 </w:t>
      </w:r>
      <w:r w:rsidR="00531D74">
        <w:rPr>
          <w:rFonts w:ascii="David" w:hAnsi="David" w:cs="David" w:hint="cs"/>
          <w:sz w:val="24"/>
          <w:szCs w:val="24"/>
          <w:rtl/>
        </w:rPr>
        <w:t>ול-</w:t>
      </w:r>
      <w:r>
        <w:rPr>
          <w:rFonts w:ascii="David" w:hAnsi="David" w:cs="David" w:hint="cs"/>
          <w:b/>
          <w:bCs/>
          <w:sz w:val="24"/>
          <w:szCs w:val="24"/>
          <w:rtl/>
        </w:rPr>
        <w:t>72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B86152">
        <w:rPr>
          <w:rFonts w:ascii="David" w:hAnsi="David" w:cs="David" w:hint="cs"/>
          <w:b/>
          <w:bCs/>
          <w:sz w:val="24"/>
          <w:szCs w:val="24"/>
          <w:rtl/>
        </w:rPr>
        <w:t>ביוני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2019.</w:t>
      </w:r>
      <w:r w:rsidR="00481C23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06D860C2" w14:textId="77777777" w:rsidR="00D05755" w:rsidRDefault="00D05755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</w:p>
    <w:p w14:paraId="2947AD9A" w14:textId="210AC31A" w:rsidR="00C70897" w:rsidRDefault="00C70897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את ההשפעה של אירועי המכביה ניתן לראות בעיקר בערים חיפה ונתניה </w:t>
      </w:r>
      <w:r w:rsidR="00D05755">
        <w:rPr>
          <w:rFonts w:ascii="David" w:hAnsi="David" w:cs="David" w:hint="cs"/>
          <w:b/>
          <w:bCs/>
          <w:sz w:val="24"/>
          <w:szCs w:val="24"/>
          <w:rtl/>
        </w:rPr>
        <w:t xml:space="preserve">אשר </w:t>
      </w:r>
      <w:r>
        <w:rPr>
          <w:rFonts w:ascii="David" w:hAnsi="David" w:cs="David" w:hint="cs"/>
          <w:b/>
          <w:bCs/>
          <w:sz w:val="24"/>
          <w:szCs w:val="24"/>
          <w:rtl/>
        </w:rPr>
        <w:t>רשמו גידולים משמעותיים בלינות התיירים וגם בתפוסות בהשוואה ליולי אשתקד וגם לעומת יולי 2019.</w:t>
      </w:r>
    </w:p>
    <w:p w14:paraId="1AC6FA85" w14:textId="29677FEA" w:rsidR="00C70897" w:rsidRDefault="00C70897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מספר לינות התיירים בחיפה הסתכם בכ-29 אלף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גידול של 35% לעומת יולי 2019. תפוסת החדרים הסתכמה בכ-74%- לעומת תפוסה של 65% ביולי 2019.</w:t>
      </w:r>
    </w:p>
    <w:p w14:paraId="69376C35" w14:textId="34C06833" w:rsidR="00C70897" w:rsidRDefault="00C70897" w:rsidP="00CB442E">
      <w:pPr>
        <w:bidi/>
        <w:spacing w:line="276" w:lineRule="auto"/>
        <w:ind w:left="-283" w:right="-17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מספר לינות התיירים בנתניה הסתכם בכ-29 אלף- גידול של 44% לעומת יולי </w:t>
      </w:r>
      <w:r w:rsidR="00D05755">
        <w:rPr>
          <w:rFonts w:ascii="David" w:hAnsi="David" w:cs="David" w:hint="cs"/>
          <w:b/>
          <w:bCs/>
          <w:sz w:val="24"/>
          <w:szCs w:val="24"/>
          <w:rtl/>
        </w:rPr>
        <w:t xml:space="preserve"> -</w:t>
      </w:r>
      <w:r>
        <w:rPr>
          <w:rFonts w:ascii="David" w:hAnsi="David" w:cs="David" w:hint="cs"/>
          <w:b/>
          <w:bCs/>
          <w:sz w:val="24"/>
          <w:szCs w:val="24"/>
          <w:rtl/>
        </w:rPr>
        <w:t>2019</w:t>
      </w:r>
      <w:r w:rsidR="00BC5E23">
        <w:rPr>
          <w:rFonts w:ascii="David" w:hAnsi="David" w:cs="David" w:hint="cs"/>
          <w:b/>
          <w:bCs/>
          <w:sz w:val="24"/>
          <w:szCs w:val="24"/>
          <w:rtl/>
        </w:rPr>
        <w:t xml:space="preserve"> ( שיעור הגידול הגבוה ביותר בארץ ) </w:t>
      </w:r>
      <w:r>
        <w:rPr>
          <w:rFonts w:ascii="David" w:hAnsi="David" w:cs="David" w:hint="cs"/>
          <w:b/>
          <w:bCs/>
          <w:sz w:val="24"/>
          <w:szCs w:val="24"/>
          <w:rtl/>
        </w:rPr>
        <w:t>תפוסת החדרים הסתכמה בכ-80% לעומת 66% ביולי 2019.</w:t>
      </w:r>
      <w:r w:rsidR="00D91E19">
        <w:rPr>
          <w:rFonts w:ascii="David" w:hAnsi="David" w:cs="David" w:hint="cs"/>
          <w:b/>
          <w:bCs/>
          <w:sz w:val="24"/>
          <w:szCs w:val="24"/>
          <w:rtl/>
        </w:rPr>
        <w:t xml:space="preserve"> ( התפוסה הגבוהה ביותר אחרי אילת).</w:t>
      </w:r>
    </w:p>
    <w:p w14:paraId="4A11D792" w14:textId="77777777" w:rsidR="00D91E19" w:rsidRDefault="00D91E19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</w:p>
    <w:p w14:paraId="0E4E1D77" w14:textId="77777777" w:rsidR="00D91E19" w:rsidRDefault="006E40FD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B86152">
        <w:rPr>
          <w:rFonts w:ascii="David" w:hAnsi="David" w:cs="David" w:hint="cs"/>
          <w:sz w:val="24"/>
          <w:szCs w:val="24"/>
          <w:rtl/>
        </w:rPr>
        <w:t>תפוסה הגבוהה ביותר</w:t>
      </w:r>
      <w:r w:rsidR="00D91E19">
        <w:rPr>
          <w:rFonts w:ascii="David" w:hAnsi="David" w:cs="David" w:hint="cs"/>
          <w:sz w:val="24"/>
          <w:szCs w:val="24"/>
          <w:rtl/>
        </w:rPr>
        <w:t xml:space="preserve"> בארץ ביולי</w:t>
      </w:r>
      <w:r w:rsidR="00B86152">
        <w:rPr>
          <w:rFonts w:ascii="David" w:hAnsi="David" w:cs="David" w:hint="cs"/>
          <w:sz w:val="24"/>
          <w:szCs w:val="24"/>
          <w:rtl/>
        </w:rPr>
        <w:t xml:space="preserve"> נרשמה באילת</w:t>
      </w:r>
      <w:r>
        <w:rPr>
          <w:rFonts w:ascii="David" w:hAnsi="David" w:cs="David" w:hint="cs"/>
          <w:sz w:val="24"/>
          <w:szCs w:val="24"/>
          <w:rtl/>
        </w:rPr>
        <w:t>, כ-</w:t>
      </w:r>
      <w:r w:rsidR="00B86152">
        <w:rPr>
          <w:rFonts w:ascii="David" w:hAnsi="David" w:cs="David" w:hint="cs"/>
          <w:sz w:val="24"/>
          <w:szCs w:val="24"/>
          <w:rtl/>
        </w:rPr>
        <w:t>8</w:t>
      </w:r>
      <w:r w:rsidR="00D91E19">
        <w:rPr>
          <w:rFonts w:ascii="David" w:hAnsi="David" w:cs="David" w:hint="cs"/>
          <w:sz w:val="24"/>
          <w:szCs w:val="24"/>
          <w:rtl/>
        </w:rPr>
        <w:t>6</w:t>
      </w:r>
      <w:r>
        <w:rPr>
          <w:rFonts w:ascii="David" w:hAnsi="David" w:cs="David" w:hint="cs"/>
          <w:sz w:val="24"/>
          <w:szCs w:val="24"/>
          <w:rtl/>
        </w:rPr>
        <w:t xml:space="preserve">%, </w:t>
      </w:r>
      <w:r w:rsidR="00D91E19">
        <w:rPr>
          <w:rFonts w:ascii="David" w:hAnsi="David" w:cs="David" w:hint="cs"/>
          <w:sz w:val="24"/>
          <w:szCs w:val="24"/>
          <w:rtl/>
        </w:rPr>
        <w:t>ירידה</w:t>
      </w:r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="00D91E19">
        <w:rPr>
          <w:rFonts w:ascii="David" w:hAnsi="David" w:cs="David" w:hint="cs"/>
          <w:sz w:val="24"/>
          <w:szCs w:val="24"/>
          <w:rtl/>
        </w:rPr>
        <w:t>2</w:t>
      </w:r>
      <w:r w:rsidR="00DE2580">
        <w:rPr>
          <w:rFonts w:ascii="David" w:hAnsi="David" w:cs="David" w:hint="cs"/>
          <w:sz w:val="24"/>
          <w:szCs w:val="24"/>
          <w:rtl/>
        </w:rPr>
        <w:t>%</w:t>
      </w:r>
      <w:r>
        <w:rPr>
          <w:rFonts w:ascii="David" w:hAnsi="David" w:cs="David" w:hint="cs"/>
          <w:sz w:val="24"/>
          <w:szCs w:val="24"/>
          <w:rtl/>
        </w:rPr>
        <w:t xml:space="preserve"> בהשוואה ל-2019. </w:t>
      </w:r>
    </w:p>
    <w:p w14:paraId="086875BD" w14:textId="592230A1" w:rsidR="00D91E19" w:rsidRDefault="00D91E19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  <w:r w:rsidRPr="00A40353">
        <w:rPr>
          <w:rFonts w:ascii="David" w:hAnsi="David" w:cs="David" w:hint="cs"/>
          <w:b/>
          <w:bCs/>
          <w:sz w:val="24"/>
          <w:szCs w:val="24"/>
          <w:rtl/>
        </w:rPr>
        <w:t>בנתניה</w:t>
      </w:r>
      <w:r>
        <w:rPr>
          <w:rFonts w:ascii="David" w:hAnsi="David" w:cs="David" w:hint="cs"/>
          <w:sz w:val="24"/>
          <w:szCs w:val="24"/>
          <w:rtl/>
        </w:rPr>
        <w:t xml:space="preserve"> נרשמה תפוסה של כ-80%, עליה של 22% לעומת יולי 2019.</w:t>
      </w:r>
      <w:r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בהרצליה</w:t>
      </w:r>
      <w:r w:rsidR="006E40FD">
        <w:rPr>
          <w:rFonts w:ascii="David" w:hAnsi="David" w:cs="David" w:hint="cs"/>
          <w:sz w:val="24"/>
          <w:szCs w:val="24"/>
          <w:rtl/>
        </w:rPr>
        <w:t xml:space="preserve"> </w:t>
      </w:r>
      <w:r w:rsidR="00657BF8">
        <w:rPr>
          <w:rFonts w:ascii="David" w:hAnsi="David" w:cs="David" w:hint="cs"/>
          <w:sz w:val="24"/>
          <w:szCs w:val="24"/>
          <w:rtl/>
        </w:rPr>
        <w:t xml:space="preserve">נרשמה תפוסה של </w:t>
      </w:r>
      <w:r w:rsidR="006E40FD">
        <w:rPr>
          <w:rFonts w:ascii="David" w:hAnsi="David" w:cs="David" w:hint="cs"/>
          <w:sz w:val="24"/>
          <w:szCs w:val="24"/>
          <w:rtl/>
        </w:rPr>
        <w:t>כ-</w:t>
      </w:r>
      <w:r w:rsidR="00B86152">
        <w:rPr>
          <w:rFonts w:ascii="David" w:hAnsi="David" w:cs="David" w:hint="cs"/>
          <w:sz w:val="24"/>
          <w:szCs w:val="24"/>
          <w:rtl/>
        </w:rPr>
        <w:t>7</w:t>
      </w:r>
      <w:r>
        <w:rPr>
          <w:rFonts w:ascii="David" w:hAnsi="David" w:cs="David" w:hint="cs"/>
          <w:sz w:val="24"/>
          <w:szCs w:val="24"/>
          <w:rtl/>
        </w:rPr>
        <w:t>9</w:t>
      </w:r>
      <w:r w:rsidR="006E40FD">
        <w:rPr>
          <w:rFonts w:ascii="David" w:hAnsi="David" w:cs="David" w:hint="cs"/>
          <w:sz w:val="24"/>
          <w:szCs w:val="24"/>
          <w:rtl/>
        </w:rPr>
        <w:t xml:space="preserve">%, </w:t>
      </w:r>
      <w:r>
        <w:rPr>
          <w:rFonts w:ascii="David" w:hAnsi="David" w:cs="David" w:hint="cs"/>
          <w:sz w:val="24"/>
          <w:szCs w:val="24"/>
          <w:rtl/>
        </w:rPr>
        <w:t>עליה</w:t>
      </w:r>
      <w:r w:rsidR="006E40FD">
        <w:rPr>
          <w:rFonts w:ascii="David" w:hAnsi="David" w:cs="David" w:hint="cs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sz w:val="24"/>
          <w:szCs w:val="24"/>
          <w:rtl/>
        </w:rPr>
        <w:t>1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sz w:val="24"/>
          <w:szCs w:val="24"/>
          <w:rtl/>
        </w:rPr>
        <w:t>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>י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</w:p>
    <w:p w14:paraId="0C9A01B7" w14:textId="7CBB6FC5" w:rsidR="00983589" w:rsidRDefault="00D91E19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  <w:r w:rsidRPr="00A40353">
        <w:rPr>
          <w:rFonts w:ascii="David" w:hAnsi="David" w:cs="David" w:hint="cs"/>
          <w:b/>
          <w:bCs/>
          <w:sz w:val="24"/>
          <w:szCs w:val="24"/>
          <w:rtl/>
        </w:rPr>
        <w:t xml:space="preserve">בחיפה </w:t>
      </w:r>
      <w:r>
        <w:rPr>
          <w:rFonts w:ascii="David" w:hAnsi="David" w:cs="David" w:hint="cs"/>
          <w:sz w:val="24"/>
          <w:szCs w:val="24"/>
          <w:rtl/>
        </w:rPr>
        <w:t xml:space="preserve">נרשמה תפוסה של כ-74%, עליה של 14% לעומת יולי 2019. </w:t>
      </w:r>
      <w:r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בתל אביב נרשמה תפוסה של </w:t>
      </w:r>
      <w:r w:rsidR="00B86152">
        <w:rPr>
          <w:rFonts w:ascii="David" w:hAnsi="David" w:cs="David" w:hint="cs"/>
          <w:sz w:val="24"/>
          <w:szCs w:val="24"/>
          <w:rtl/>
        </w:rPr>
        <w:t>7</w:t>
      </w:r>
      <w:r>
        <w:rPr>
          <w:rFonts w:ascii="David" w:hAnsi="David" w:cs="David" w:hint="cs"/>
          <w:sz w:val="24"/>
          <w:szCs w:val="24"/>
          <w:rtl/>
        </w:rPr>
        <w:t>3</w:t>
      </w:r>
      <w:r w:rsidR="00531D74">
        <w:rPr>
          <w:rFonts w:ascii="David" w:hAnsi="David" w:cs="David" w:hint="cs"/>
          <w:sz w:val="24"/>
          <w:szCs w:val="24"/>
          <w:rtl/>
        </w:rPr>
        <w:t xml:space="preserve">%, ירידה של </w:t>
      </w:r>
      <w:r>
        <w:rPr>
          <w:rFonts w:ascii="David" w:hAnsi="David" w:cs="David" w:hint="cs"/>
          <w:sz w:val="24"/>
          <w:szCs w:val="24"/>
          <w:rtl/>
        </w:rPr>
        <w:t>9</w:t>
      </w:r>
      <w:r w:rsidR="00531D74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B86152">
        <w:rPr>
          <w:rFonts w:ascii="David" w:hAnsi="David" w:cs="David" w:hint="cs"/>
          <w:sz w:val="24"/>
          <w:szCs w:val="24"/>
          <w:rtl/>
        </w:rPr>
        <w:t>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>י</w:t>
      </w:r>
      <w:r w:rsidR="00DE2580">
        <w:rPr>
          <w:rFonts w:ascii="David" w:hAnsi="David" w:cs="David" w:hint="cs"/>
          <w:sz w:val="24"/>
          <w:szCs w:val="24"/>
          <w:rtl/>
        </w:rPr>
        <w:t xml:space="preserve"> 2019.</w:t>
      </w:r>
    </w:p>
    <w:p w14:paraId="6CEF6E91" w14:textId="09099921" w:rsidR="00B86152" w:rsidRDefault="00983589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בטבריה נרשמה תפוסה של כ-68%, עליה של 6% </w:t>
      </w:r>
      <w:r w:rsidR="00BC5E23">
        <w:rPr>
          <w:rFonts w:ascii="David" w:hAnsi="David" w:cs="David" w:hint="cs"/>
          <w:sz w:val="24"/>
          <w:szCs w:val="24"/>
          <w:rtl/>
        </w:rPr>
        <w:t xml:space="preserve">לעומת </w:t>
      </w:r>
      <w:r>
        <w:rPr>
          <w:rFonts w:ascii="David" w:hAnsi="David" w:cs="David" w:hint="cs"/>
          <w:sz w:val="24"/>
          <w:szCs w:val="24"/>
          <w:rtl/>
        </w:rPr>
        <w:t>יולי 2019.</w:t>
      </w:r>
      <w:r w:rsidR="00DE2580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בים המלח נרשמה תפוסה של כ-6</w:t>
      </w:r>
      <w:r w:rsidR="00D91E19">
        <w:rPr>
          <w:rFonts w:ascii="David" w:hAnsi="David" w:cs="David" w:hint="cs"/>
          <w:sz w:val="24"/>
          <w:szCs w:val="24"/>
          <w:rtl/>
        </w:rPr>
        <w:t>6</w:t>
      </w:r>
      <w:r w:rsidR="00B86152">
        <w:rPr>
          <w:rFonts w:ascii="David" w:hAnsi="David" w:cs="David" w:hint="cs"/>
          <w:sz w:val="24"/>
          <w:szCs w:val="24"/>
          <w:rtl/>
        </w:rPr>
        <w:t xml:space="preserve">%, </w:t>
      </w:r>
      <w:r>
        <w:rPr>
          <w:rFonts w:ascii="David" w:hAnsi="David" w:cs="David" w:hint="cs"/>
          <w:sz w:val="24"/>
          <w:szCs w:val="24"/>
          <w:rtl/>
        </w:rPr>
        <w:t>ירידה של 5%</w:t>
      </w:r>
      <w:r w:rsidR="00B8615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לעומת </w:t>
      </w:r>
      <w:r w:rsidR="00B86152">
        <w:rPr>
          <w:rFonts w:ascii="David" w:hAnsi="David" w:cs="David" w:hint="cs"/>
          <w:sz w:val="24"/>
          <w:szCs w:val="24"/>
          <w:rtl/>
        </w:rPr>
        <w:t>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>י 2019.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מערב </w:t>
      </w:r>
      <w:r w:rsidR="00B86152">
        <w:rPr>
          <w:rFonts w:ascii="David" w:hAnsi="David" w:cs="David" w:hint="cs"/>
          <w:sz w:val="24"/>
          <w:szCs w:val="24"/>
          <w:rtl/>
        </w:rPr>
        <w:t>ירושלים נרשמה תפוסה של כ-</w:t>
      </w:r>
      <w:r>
        <w:rPr>
          <w:rFonts w:ascii="David" w:hAnsi="David" w:cs="David" w:hint="cs"/>
          <w:sz w:val="24"/>
          <w:szCs w:val="24"/>
          <w:rtl/>
        </w:rPr>
        <w:t>65</w:t>
      </w:r>
      <w:r w:rsidR="00B86152">
        <w:rPr>
          <w:rFonts w:ascii="David" w:hAnsi="David" w:cs="David" w:hint="cs"/>
          <w:sz w:val="24"/>
          <w:szCs w:val="24"/>
          <w:rtl/>
        </w:rPr>
        <w:t xml:space="preserve">%, </w:t>
      </w:r>
      <w:r>
        <w:rPr>
          <w:rFonts w:ascii="David" w:hAnsi="David" w:cs="David" w:hint="cs"/>
          <w:sz w:val="24"/>
          <w:szCs w:val="24"/>
          <w:rtl/>
        </w:rPr>
        <w:t>עליה</w:t>
      </w:r>
      <w:r w:rsidR="00B86152">
        <w:rPr>
          <w:rFonts w:ascii="David" w:hAnsi="David" w:cs="David" w:hint="cs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sz w:val="24"/>
          <w:szCs w:val="24"/>
          <w:rtl/>
        </w:rPr>
        <w:t>3</w:t>
      </w:r>
      <w:r w:rsidR="00B86152">
        <w:rPr>
          <w:rFonts w:ascii="David" w:hAnsi="David" w:cs="David" w:hint="cs"/>
          <w:sz w:val="24"/>
          <w:szCs w:val="24"/>
          <w:rtl/>
        </w:rPr>
        <w:t>% לעומת 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 xml:space="preserve">י 2019. </w:t>
      </w:r>
      <w:r w:rsidR="00B86152">
        <w:rPr>
          <w:rFonts w:ascii="David" w:hAnsi="David" w:cs="David"/>
          <w:sz w:val="24"/>
          <w:szCs w:val="24"/>
          <w:rtl/>
        </w:rPr>
        <w:br/>
      </w:r>
      <w:r w:rsidR="00B86152">
        <w:rPr>
          <w:rFonts w:ascii="David" w:hAnsi="David" w:cs="David" w:hint="cs"/>
          <w:sz w:val="24"/>
          <w:szCs w:val="24"/>
          <w:rtl/>
        </w:rPr>
        <w:t>בנצרת נרשמה תפוסה של כ-</w:t>
      </w:r>
      <w:r>
        <w:rPr>
          <w:rFonts w:ascii="David" w:hAnsi="David" w:cs="David" w:hint="cs"/>
          <w:sz w:val="24"/>
          <w:szCs w:val="24"/>
          <w:rtl/>
        </w:rPr>
        <w:t>53</w:t>
      </w:r>
      <w:r w:rsidR="00B86152">
        <w:rPr>
          <w:rFonts w:ascii="David" w:hAnsi="David" w:cs="David" w:hint="cs"/>
          <w:sz w:val="24"/>
          <w:szCs w:val="24"/>
          <w:rtl/>
        </w:rPr>
        <w:t xml:space="preserve">%, ירידה של </w:t>
      </w:r>
      <w:r>
        <w:rPr>
          <w:rFonts w:ascii="David" w:hAnsi="David" w:cs="David" w:hint="cs"/>
          <w:sz w:val="24"/>
          <w:szCs w:val="24"/>
          <w:rtl/>
        </w:rPr>
        <w:t>12</w:t>
      </w:r>
      <w:r w:rsidR="00B86152">
        <w:rPr>
          <w:rFonts w:ascii="David" w:hAnsi="David" w:cs="David" w:hint="cs"/>
          <w:sz w:val="24"/>
          <w:szCs w:val="24"/>
          <w:rtl/>
        </w:rPr>
        <w:t>% לעומת יו</w:t>
      </w:r>
      <w:r>
        <w:rPr>
          <w:rFonts w:ascii="David" w:hAnsi="David" w:cs="David" w:hint="cs"/>
          <w:sz w:val="24"/>
          <w:szCs w:val="24"/>
          <w:rtl/>
        </w:rPr>
        <w:t>ל</w:t>
      </w:r>
      <w:r w:rsidR="00B86152">
        <w:rPr>
          <w:rFonts w:ascii="David" w:hAnsi="David" w:cs="David" w:hint="cs"/>
          <w:sz w:val="24"/>
          <w:szCs w:val="24"/>
          <w:rtl/>
        </w:rPr>
        <w:t xml:space="preserve">י 2019. </w:t>
      </w:r>
    </w:p>
    <w:p w14:paraId="5EBAE056" w14:textId="77777777" w:rsidR="00A40353" w:rsidRDefault="00A40353" w:rsidP="00CB442E">
      <w:pPr>
        <w:bidi/>
        <w:spacing w:line="276" w:lineRule="auto"/>
        <w:ind w:left="-283" w:right="-170"/>
        <w:rPr>
          <w:rFonts w:ascii="David" w:hAnsi="David" w:cs="David"/>
          <w:sz w:val="24"/>
          <w:szCs w:val="24"/>
          <w:rtl/>
        </w:rPr>
      </w:pPr>
    </w:p>
    <w:p w14:paraId="089F3ED1" w14:textId="5C75C774" w:rsidR="0060430D" w:rsidRDefault="00FF0143" w:rsidP="00CB442E">
      <w:pPr>
        <w:bidi/>
        <w:ind w:left="-283" w:right="-17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מהתאחדות המלונות נמסר</w:t>
      </w:r>
      <w:r w:rsidR="00B00041" w:rsidRPr="00FF0143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EF78C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C3BAC">
        <w:rPr>
          <w:rFonts w:ascii="David" w:hAnsi="David" w:cs="David" w:hint="cs"/>
          <w:sz w:val="24"/>
          <w:szCs w:val="24"/>
          <w:rtl/>
        </w:rPr>
        <w:t>"</w:t>
      </w:r>
      <w:r w:rsidR="00EF78C3">
        <w:rPr>
          <w:rFonts w:ascii="David" w:hAnsi="David" w:cs="David" w:hint="cs"/>
          <w:sz w:val="24"/>
          <w:szCs w:val="24"/>
          <w:rtl/>
        </w:rPr>
        <w:t>ענף המלונאות מתאושש ומתקרב לנתוני השיא שהיו ב-2019, ערב המגיפה, בעיקר הודות ל</w:t>
      </w:r>
      <w:r w:rsidR="005C3BAC">
        <w:rPr>
          <w:rFonts w:ascii="David" w:hAnsi="David" w:cs="David" w:hint="cs"/>
          <w:sz w:val="24"/>
          <w:szCs w:val="24"/>
          <w:rtl/>
        </w:rPr>
        <w:t>תנופה בתיירות הנכנסת</w:t>
      </w:r>
      <w:r w:rsidR="00EF78C3">
        <w:rPr>
          <w:rFonts w:ascii="David" w:hAnsi="David" w:cs="David" w:hint="cs"/>
          <w:sz w:val="24"/>
          <w:szCs w:val="24"/>
          <w:rtl/>
        </w:rPr>
        <w:t xml:space="preserve">. </w:t>
      </w:r>
      <w:r w:rsidR="00EF78C3" w:rsidRPr="00EF78C3">
        <w:rPr>
          <w:rFonts w:ascii="David" w:hAnsi="David" w:cs="David" w:hint="cs"/>
          <w:sz w:val="24"/>
          <w:szCs w:val="24"/>
          <w:rtl/>
        </w:rPr>
        <w:t xml:space="preserve">אנו מקוים שמגמה חיובית זו תמשך </w:t>
      </w:r>
      <w:r w:rsidR="00EF78C3">
        <w:rPr>
          <w:rFonts w:ascii="David" w:hAnsi="David" w:cs="David" w:hint="cs"/>
          <w:sz w:val="24"/>
          <w:szCs w:val="24"/>
          <w:rtl/>
        </w:rPr>
        <w:t>עד סוף השנה, ותסייע לה להסתיים בפער לא גדול לעומת 2019, חרף החולשה של הרבעון הראשון.</w:t>
      </w:r>
      <w:r w:rsidR="005C3BAC">
        <w:rPr>
          <w:rFonts w:ascii="David" w:hAnsi="David" w:cs="David" w:hint="cs"/>
          <w:sz w:val="24"/>
          <w:szCs w:val="24"/>
          <w:rtl/>
        </w:rPr>
        <w:t xml:space="preserve"> אנחנו מאמינים שעם השקעה מסיבית בשיווק של ישראל בעולם, ב</w:t>
      </w:r>
      <w:r w:rsidR="00354ECF">
        <w:rPr>
          <w:rFonts w:ascii="David" w:hAnsi="David" w:cs="David" w:hint="cs"/>
          <w:sz w:val="24"/>
          <w:szCs w:val="24"/>
          <w:rtl/>
        </w:rPr>
        <w:t xml:space="preserve">רבעון האחרון של 2022, </w:t>
      </w:r>
      <w:r w:rsidR="005C3BAC">
        <w:rPr>
          <w:rFonts w:ascii="David" w:hAnsi="David" w:cs="David" w:hint="cs"/>
          <w:sz w:val="24"/>
          <w:szCs w:val="24"/>
          <w:rtl/>
        </w:rPr>
        <w:t xml:space="preserve">ניתן יהיה בשנה הבאה לעבור את שנת השיא </w:t>
      </w:r>
      <w:r w:rsidR="00BC5E23">
        <w:rPr>
          <w:rFonts w:ascii="David" w:hAnsi="David" w:cs="David" w:hint="cs"/>
          <w:sz w:val="24"/>
          <w:szCs w:val="24"/>
          <w:rtl/>
        </w:rPr>
        <w:t xml:space="preserve">של </w:t>
      </w:r>
      <w:r w:rsidR="005C3BAC">
        <w:rPr>
          <w:rFonts w:ascii="David" w:hAnsi="David" w:cs="David" w:hint="cs"/>
          <w:sz w:val="24"/>
          <w:szCs w:val="24"/>
          <w:rtl/>
        </w:rPr>
        <w:t xml:space="preserve">2019 ולהגיע לגידול משמעותי במספר התיירים שיגיעו לישראל".  </w:t>
      </w:r>
      <w:r w:rsidR="00EF78C3">
        <w:rPr>
          <w:rFonts w:ascii="David" w:hAnsi="David" w:cs="David" w:hint="cs"/>
          <w:sz w:val="24"/>
          <w:szCs w:val="24"/>
          <w:rtl/>
        </w:rPr>
        <w:t xml:space="preserve">  </w:t>
      </w:r>
      <w:r w:rsidR="00EF78C3" w:rsidRPr="00EF78C3">
        <w:rPr>
          <w:rFonts w:ascii="David" w:hAnsi="David" w:cs="David" w:hint="cs"/>
          <w:sz w:val="24"/>
          <w:szCs w:val="24"/>
          <w:rtl/>
        </w:rPr>
        <w:t xml:space="preserve"> </w:t>
      </w:r>
      <w:r w:rsidR="00B00041" w:rsidRPr="00EF78C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BDD235A" w14:textId="3A43D3C2" w:rsidR="00A40353" w:rsidRDefault="00CB442E" w:rsidP="00CB442E">
      <w:pPr>
        <w:bidi/>
        <w:spacing w:line="276" w:lineRule="auto"/>
        <w:ind w:left="4037" w:right="-170" w:firstLine="100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rtl/>
        </w:rPr>
        <w:t xml:space="preserve">* </w:t>
      </w:r>
      <w:r w:rsidRPr="001B10A5">
        <w:rPr>
          <w:rFonts w:ascii="David" w:hAnsi="David" w:cs="David"/>
          <w:rtl/>
        </w:rPr>
        <w:t>מצורפת טבלה מסודרת המציגה את כל הנתונים</w:t>
      </w:r>
      <w:r>
        <w:rPr>
          <w:rFonts w:ascii="David" w:hAnsi="David" w:cs="David" w:hint="cs"/>
          <w:rtl/>
        </w:rPr>
        <w:t>.</w:t>
      </w:r>
    </w:p>
    <w:sectPr w:rsidR="00A40353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97B1" w14:textId="77777777" w:rsidR="00E664A8" w:rsidRDefault="00E664A8" w:rsidP="000E2089">
      <w:r>
        <w:separator/>
      </w:r>
    </w:p>
  </w:endnote>
  <w:endnote w:type="continuationSeparator" w:id="0">
    <w:p w14:paraId="253A32AF" w14:textId="77777777" w:rsidR="00E664A8" w:rsidRDefault="00E664A8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6398" w14:textId="77777777" w:rsidR="00E664A8" w:rsidRDefault="00E664A8" w:rsidP="000E2089">
      <w:r>
        <w:separator/>
      </w:r>
    </w:p>
  </w:footnote>
  <w:footnote w:type="continuationSeparator" w:id="0">
    <w:p w14:paraId="40AF2D30" w14:textId="77777777" w:rsidR="00E664A8" w:rsidRDefault="00E664A8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7B7B"/>
    <w:rsid w:val="0007463E"/>
    <w:rsid w:val="00074A2E"/>
    <w:rsid w:val="00076BE7"/>
    <w:rsid w:val="00081806"/>
    <w:rsid w:val="00082C86"/>
    <w:rsid w:val="000837F0"/>
    <w:rsid w:val="00091324"/>
    <w:rsid w:val="00094A13"/>
    <w:rsid w:val="000D6060"/>
    <w:rsid w:val="000E012D"/>
    <w:rsid w:val="000E2089"/>
    <w:rsid w:val="000F0D6E"/>
    <w:rsid w:val="0012452F"/>
    <w:rsid w:val="0014244F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56A9B"/>
    <w:rsid w:val="00264164"/>
    <w:rsid w:val="002743E6"/>
    <w:rsid w:val="002A191C"/>
    <w:rsid w:val="002B3178"/>
    <w:rsid w:val="002B41DB"/>
    <w:rsid w:val="0030356C"/>
    <w:rsid w:val="00321DCD"/>
    <w:rsid w:val="003402DB"/>
    <w:rsid w:val="00342E9A"/>
    <w:rsid w:val="00351D6E"/>
    <w:rsid w:val="00354ECF"/>
    <w:rsid w:val="0035714A"/>
    <w:rsid w:val="00374FBA"/>
    <w:rsid w:val="003804FD"/>
    <w:rsid w:val="00383833"/>
    <w:rsid w:val="003D0080"/>
    <w:rsid w:val="003D4B9E"/>
    <w:rsid w:val="003E1361"/>
    <w:rsid w:val="00411ABA"/>
    <w:rsid w:val="004243C6"/>
    <w:rsid w:val="004319DD"/>
    <w:rsid w:val="00434A32"/>
    <w:rsid w:val="00442933"/>
    <w:rsid w:val="0044515E"/>
    <w:rsid w:val="00462062"/>
    <w:rsid w:val="00462C23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C3BAC"/>
    <w:rsid w:val="005E3DE0"/>
    <w:rsid w:val="00600CB2"/>
    <w:rsid w:val="0060430D"/>
    <w:rsid w:val="00612A57"/>
    <w:rsid w:val="006159AF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25129"/>
    <w:rsid w:val="00725434"/>
    <w:rsid w:val="00730699"/>
    <w:rsid w:val="00743748"/>
    <w:rsid w:val="00744AA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F7910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83C04"/>
    <w:rsid w:val="0088792A"/>
    <w:rsid w:val="008A722D"/>
    <w:rsid w:val="008A7BB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10EA0"/>
    <w:rsid w:val="009453E1"/>
    <w:rsid w:val="0095047D"/>
    <w:rsid w:val="009530A0"/>
    <w:rsid w:val="00983589"/>
    <w:rsid w:val="009A0CE7"/>
    <w:rsid w:val="009A27FF"/>
    <w:rsid w:val="009A6AFC"/>
    <w:rsid w:val="009A77AA"/>
    <w:rsid w:val="009B7E9A"/>
    <w:rsid w:val="009C7A6F"/>
    <w:rsid w:val="009D69B0"/>
    <w:rsid w:val="009F424E"/>
    <w:rsid w:val="009F6350"/>
    <w:rsid w:val="009F6F79"/>
    <w:rsid w:val="00A000D0"/>
    <w:rsid w:val="00A0448B"/>
    <w:rsid w:val="00A40353"/>
    <w:rsid w:val="00A44C9C"/>
    <w:rsid w:val="00A50A9C"/>
    <w:rsid w:val="00A52153"/>
    <w:rsid w:val="00A5268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3F01"/>
    <w:rsid w:val="00B54827"/>
    <w:rsid w:val="00B62E0F"/>
    <w:rsid w:val="00B86152"/>
    <w:rsid w:val="00B878FD"/>
    <w:rsid w:val="00B90BBD"/>
    <w:rsid w:val="00B9195A"/>
    <w:rsid w:val="00BA19A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6797"/>
    <w:rsid w:val="00CF74C2"/>
    <w:rsid w:val="00D05755"/>
    <w:rsid w:val="00D14BAD"/>
    <w:rsid w:val="00D155BC"/>
    <w:rsid w:val="00D16AB6"/>
    <w:rsid w:val="00D366B6"/>
    <w:rsid w:val="00D57A1D"/>
    <w:rsid w:val="00D634BB"/>
    <w:rsid w:val="00D83EF7"/>
    <w:rsid w:val="00D840DE"/>
    <w:rsid w:val="00D91E19"/>
    <w:rsid w:val="00DA1185"/>
    <w:rsid w:val="00DB5C8B"/>
    <w:rsid w:val="00DC34E2"/>
    <w:rsid w:val="00DD7E80"/>
    <w:rsid w:val="00DE1B84"/>
    <w:rsid w:val="00DE2580"/>
    <w:rsid w:val="00DE2D34"/>
    <w:rsid w:val="00DF0EE5"/>
    <w:rsid w:val="00DF30E4"/>
    <w:rsid w:val="00E30420"/>
    <w:rsid w:val="00E36F7C"/>
    <w:rsid w:val="00E41527"/>
    <w:rsid w:val="00E65C52"/>
    <w:rsid w:val="00E664A8"/>
    <w:rsid w:val="00E71BE5"/>
    <w:rsid w:val="00E72978"/>
    <w:rsid w:val="00E918EF"/>
    <w:rsid w:val="00E9485B"/>
    <w:rsid w:val="00EA5D70"/>
    <w:rsid w:val="00ED1290"/>
    <w:rsid w:val="00EE06BE"/>
    <w:rsid w:val="00EE2B03"/>
    <w:rsid w:val="00EF78C3"/>
    <w:rsid w:val="00F2417B"/>
    <w:rsid w:val="00F61CB2"/>
    <w:rsid w:val="00F779C5"/>
    <w:rsid w:val="00F846C9"/>
    <w:rsid w:val="00FB41A2"/>
    <w:rsid w:val="00FB604F"/>
    <w:rsid w:val="00FC0E6A"/>
    <w:rsid w:val="00FC5603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A0FB-AE22-4B45-A2AE-31184428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 Choresh</cp:lastModifiedBy>
  <cp:revision>2</cp:revision>
  <cp:lastPrinted>2019-08-21T06:39:00Z</cp:lastPrinted>
  <dcterms:created xsi:type="dcterms:W3CDTF">2022-08-24T09:28:00Z</dcterms:created>
  <dcterms:modified xsi:type="dcterms:W3CDTF">2022-08-24T09:28:00Z</dcterms:modified>
</cp:coreProperties>
</file>